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ahoma"/>
          <w:b/>
          <w:sz w:val="36"/>
          <w:szCs w:val="36"/>
          <w:shd w:val="clear" w:color="auto" w:fill="FFFFFF"/>
        </w:rPr>
      </w:pPr>
      <w:r>
        <w:rPr>
          <w:rFonts w:hint="eastAsia" w:ascii="黑体" w:hAnsi="黑体" w:eastAsia="黑体" w:cs="Tahoma"/>
          <w:b/>
          <w:sz w:val="36"/>
          <w:szCs w:val="36"/>
          <w:shd w:val="clear" w:color="auto" w:fill="FFFFFF"/>
        </w:rPr>
        <w:t>华南农业大学</w:t>
      </w:r>
      <w:r>
        <w:rPr>
          <w:rFonts w:ascii="黑体" w:hAnsi="黑体" w:eastAsia="黑体" w:cs="Tahoma"/>
          <w:b/>
          <w:sz w:val="36"/>
          <w:szCs w:val="36"/>
          <w:shd w:val="clear" w:color="auto" w:fill="FFFFFF"/>
        </w:rPr>
        <w:t>经济管理学院</w:t>
      </w:r>
    </w:p>
    <w:p>
      <w:pPr>
        <w:jc w:val="center"/>
        <w:rPr>
          <w:rFonts w:ascii="黑体" w:hAnsi="黑体" w:eastAsia="黑体" w:cs="Tahoma"/>
          <w:b/>
          <w:sz w:val="36"/>
          <w:szCs w:val="36"/>
          <w:shd w:val="clear" w:color="auto" w:fill="FFFFFF"/>
        </w:rPr>
      </w:pPr>
      <w:r>
        <w:rPr>
          <w:rFonts w:ascii="黑体" w:hAnsi="黑体" w:eastAsia="黑体" w:cs="Tahoma"/>
          <w:b/>
          <w:sz w:val="36"/>
          <w:szCs w:val="36"/>
          <w:shd w:val="clear" w:color="auto" w:fill="FFFFFF"/>
        </w:rPr>
        <w:t>研究生国家奖学金评选办法（</w:t>
      </w:r>
      <w:r>
        <w:rPr>
          <w:rFonts w:hint="eastAsia" w:ascii="Times New Roman" w:hAnsi="Times New Roman" w:eastAsia="黑体" w:cs="Times New Roman"/>
          <w:b/>
          <w:sz w:val="36"/>
          <w:szCs w:val="36"/>
          <w:shd w:val="clear" w:color="auto" w:fill="FFFFFF"/>
          <w:lang w:val="en-US" w:eastAsia="zh-CN"/>
        </w:rPr>
        <w:t>试行</w:t>
      </w:r>
      <w:r>
        <w:rPr>
          <w:rFonts w:ascii="黑体" w:hAnsi="黑体" w:eastAsia="黑体" w:cs="Tahoma"/>
          <w:b/>
          <w:sz w:val="36"/>
          <w:szCs w:val="36"/>
          <w:shd w:val="clear" w:color="auto" w:fill="FFFFFF"/>
        </w:rPr>
        <w:t>）</w:t>
      </w:r>
    </w:p>
    <w:p>
      <w:pPr>
        <w:ind w:firstLine="720" w:firstLineChars="200"/>
        <w:rPr>
          <w:rFonts w:ascii="Tahoma" w:hAnsi="Tahoma" w:eastAsia="宋体" w:cs="Tahoma"/>
          <w:kern w:val="0"/>
          <w:sz w:val="36"/>
          <w:szCs w:val="36"/>
          <w:shd w:val="clear" w:color="auto" w:fill="FFFFFF"/>
        </w:rPr>
      </w:pPr>
    </w:p>
    <w:p>
      <w:pPr>
        <w:ind w:firstLine="480" w:firstLineChars="200"/>
        <w:rPr>
          <w:rFonts w:ascii="Tahoma" w:hAnsi="Tahoma" w:eastAsia="宋体" w:cs="Tahoma"/>
          <w:kern w:val="0"/>
          <w:sz w:val="24"/>
          <w:szCs w:val="24"/>
          <w:shd w:val="clear" w:color="auto" w:fill="FFFFFF"/>
        </w:rPr>
      </w:pPr>
    </w:p>
    <w:p>
      <w:pPr>
        <w:spacing w:line="360" w:lineRule="auto"/>
        <w:ind w:firstLine="480" w:firstLineChars="200"/>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为发展中国特色研究生教育，促进研究生培养机制改革，提高研究</w:t>
      </w:r>
      <w:bookmarkStart w:id="7" w:name="_GoBack"/>
      <w:bookmarkEnd w:id="7"/>
      <w:r>
        <w:rPr>
          <w:rFonts w:ascii="Tahoma" w:hAnsi="Tahoma" w:eastAsia="宋体" w:cs="Tahoma"/>
          <w:kern w:val="0"/>
          <w:sz w:val="24"/>
          <w:szCs w:val="24"/>
          <w:shd w:val="clear" w:color="auto" w:fill="FFFFFF"/>
        </w:rPr>
        <w:t>生培养质量，国家自</w:t>
      </w:r>
      <w:r>
        <w:rPr>
          <w:rFonts w:ascii="Times New Roman" w:hAnsi="Times New Roman" w:eastAsia="宋体" w:cs="Times New Roman"/>
          <w:kern w:val="0"/>
          <w:sz w:val="24"/>
          <w:szCs w:val="24"/>
          <w:shd w:val="clear" w:color="auto" w:fill="FFFFFF"/>
        </w:rPr>
        <w:t>2012</w:t>
      </w:r>
      <w:r>
        <w:rPr>
          <w:rFonts w:hint="eastAsia" w:ascii="宋体" w:hAnsi="宋体" w:eastAsia="宋体" w:cs="Tahoma"/>
          <w:kern w:val="0"/>
          <w:sz w:val="24"/>
          <w:szCs w:val="24"/>
          <w:shd w:val="clear" w:color="auto" w:fill="FFFFFF"/>
        </w:rPr>
        <w:t>年起设立研究生国家奖学金。为做好研究生国家奖学金评审工作，根据省财政厅、省教育厅《关于印发〈广东省普通高校研究生国家奖学金管理暂行办法〉的通知》（粤财教〔</w:t>
      </w:r>
      <w:r>
        <w:rPr>
          <w:rFonts w:ascii="Times New Roman" w:hAnsi="Times New Roman" w:eastAsia="宋体" w:cs="Times New Roman"/>
          <w:kern w:val="0"/>
          <w:sz w:val="24"/>
          <w:szCs w:val="24"/>
          <w:shd w:val="clear" w:color="auto" w:fill="FFFFFF"/>
        </w:rPr>
        <w:t>2013</w:t>
      </w:r>
      <w:r>
        <w:rPr>
          <w:rFonts w:hint="eastAsia" w:ascii="宋体" w:hAnsi="宋体" w:eastAsia="宋体" w:cs="Tahoma"/>
          <w:kern w:val="0"/>
          <w:sz w:val="24"/>
          <w:szCs w:val="24"/>
          <w:shd w:val="clear" w:color="auto" w:fill="FFFFFF"/>
        </w:rPr>
        <w:t>〕</w:t>
      </w:r>
      <w:r>
        <w:rPr>
          <w:rFonts w:ascii="Times New Roman" w:hAnsi="Times New Roman" w:eastAsia="宋体" w:cs="Times New Roman"/>
          <w:kern w:val="0"/>
          <w:sz w:val="24"/>
          <w:szCs w:val="24"/>
          <w:shd w:val="clear" w:color="auto" w:fill="FFFFFF"/>
        </w:rPr>
        <w:t>17</w:t>
      </w:r>
      <w:r>
        <w:rPr>
          <w:rFonts w:hint="eastAsia" w:ascii="宋体" w:hAnsi="宋体" w:eastAsia="宋体" w:cs="Tahoma"/>
          <w:kern w:val="0"/>
          <w:sz w:val="24"/>
          <w:szCs w:val="24"/>
          <w:shd w:val="clear" w:color="auto" w:fill="FFFFFF"/>
        </w:rPr>
        <w:t>号）和华南农业大学研究生国家奖学金评选文件要求，制定本办法。</w:t>
      </w:r>
    </w:p>
    <w:p>
      <w:pPr>
        <w:spacing w:line="360" w:lineRule="auto"/>
        <w:ind w:firstLine="480" w:firstLineChars="200"/>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rPr>
      </w:pPr>
      <w:r>
        <w:rPr>
          <w:rFonts w:ascii="Tahoma" w:hAnsi="Tahoma" w:eastAsia="宋体" w:cs="Tahoma"/>
          <w:b/>
          <w:kern w:val="0"/>
          <w:sz w:val="28"/>
          <w:szCs w:val="24"/>
          <w:shd w:val="clear" w:color="auto" w:fill="FFFFFF"/>
        </w:rPr>
        <w:t>第一章</w:t>
      </w:r>
      <w:r>
        <w:rPr>
          <w:rFonts w:hint="eastAsia" w:ascii="Times New Roman" w:hAnsi="Times New Roman" w:eastAsia="宋体" w:cs="Times New Roman"/>
          <w:b/>
          <w:kern w:val="0"/>
          <w:sz w:val="28"/>
          <w:szCs w:val="24"/>
          <w:shd w:val="clear" w:color="auto" w:fill="FFFFFF"/>
        </w:rPr>
        <w:t xml:space="preserve">  </w:t>
      </w:r>
      <w:r>
        <w:rPr>
          <w:rFonts w:hint="eastAsia" w:ascii="宋体" w:hAnsi="宋体" w:eastAsia="宋体" w:cs="Tahoma"/>
          <w:b/>
          <w:kern w:val="0"/>
          <w:sz w:val="28"/>
          <w:szCs w:val="24"/>
          <w:shd w:val="clear" w:color="auto" w:fill="FFFFFF"/>
        </w:rPr>
        <w:t>总则</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第一条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的评审，旨在充分调动研究生进行科学研究的积极性，发表高水平学术文章；鼓励研究生参加高层次的学术、科技、文化等竞赛活动和社会实践活动，发扬创新精神和提高实践能力；奖励品学兼优的研究生，提高研究生培养质量。</w:t>
      </w:r>
    </w:p>
    <w:p>
      <w:pPr>
        <w:widowControl/>
        <w:shd w:val="clear" w:color="auto" w:fill="FFFFFF"/>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第二章</w:t>
      </w:r>
      <w:r>
        <w:rPr>
          <w:rFonts w:hint="eastAsia" w:ascii="Tahoma" w:hAnsi="Tahoma" w:eastAsia="宋体" w:cs="Tahoma"/>
          <w:b/>
          <w:kern w:val="0"/>
          <w:sz w:val="28"/>
          <w:szCs w:val="24"/>
          <w:shd w:val="clear" w:color="auto" w:fill="FFFFFF"/>
        </w:rPr>
        <w:t xml:space="preserve">  奖励标准与申请条件</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第二条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奖励标准</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博士研究生国家奖学金奖励标准为每生每年</w:t>
      </w:r>
      <w:r>
        <w:rPr>
          <w:rFonts w:ascii="Times New Roman" w:hAnsi="Times New Roman" w:eastAsia="宋体" w:cs="Times New Roman"/>
          <w:kern w:val="0"/>
          <w:sz w:val="24"/>
          <w:szCs w:val="24"/>
          <w:shd w:val="clear" w:color="auto" w:fill="FFFFFF"/>
        </w:rPr>
        <w:t>3</w:t>
      </w:r>
      <w:r>
        <w:rPr>
          <w:rFonts w:hint="eastAsia" w:ascii="宋体" w:hAnsi="宋体" w:eastAsia="宋体" w:cs="Tahoma"/>
          <w:kern w:val="0"/>
          <w:sz w:val="24"/>
          <w:szCs w:val="24"/>
          <w:shd w:val="clear" w:color="auto" w:fill="FFFFFF"/>
        </w:rPr>
        <w:t>万元，硕士研究生国家奖学金奖励标准为每生每年</w:t>
      </w:r>
      <w:r>
        <w:rPr>
          <w:rFonts w:ascii="Times New Roman" w:hAnsi="Times New Roman" w:eastAsia="宋体" w:cs="Times New Roman"/>
          <w:kern w:val="0"/>
          <w:sz w:val="24"/>
          <w:szCs w:val="24"/>
          <w:shd w:val="clear" w:color="auto" w:fill="FFFFFF"/>
        </w:rPr>
        <w:t>2</w:t>
      </w:r>
      <w:r>
        <w:rPr>
          <w:rFonts w:hint="eastAsia" w:ascii="宋体" w:hAnsi="宋体" w:eastAsia="宋体" w:cs="Tahoma"/>
          <w:kern w:val="0"/>
          <w:sz w:val="24"/>
          <w:szCs w:val="24"/>
          <w:shd w:val="clear" w:color="auto" w:fill="FFFFFF"/>
        </w:rPr>
        <w:t>万元（届时以国家实际文件为准）。</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第三条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研究生国家奖学金基本申请条件</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ahoma" w:hAnsi="Tahoma" w:eastAsia="宋体" w:cs="Tahoma"/>
          <w:kern w:val="0"/>
          <w:sz w:val="24"/>
          <w:szCs w:val="24"/>
          <w:shd w:val="clear" w:color="auto" w:fill="FFFFFF"/>
        </w:rPr>
        <w:t>（</w:t>
      </w:r>
      <w:r>
        <w:rPr>
          <w:rFonts w:ascii="Times New Roman" w:hAnsi="Times New Roman" w:eastAsia="宋体" w:cs="Times New Roman"/>
          <w:kern w:val="0"/>
          <w:sz w:val="24"/>
          <w:szCs w:val="24"/>
          <w:shd w:val="clear" w:color="auto" w:fill="FFFFFF"/>
        </w:rPr>
        <w:t>1）热爱社会主义祖国，拥护中国共产党领导；</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（2）遵守宪法和法律，遵守高等学校规章制度；</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（3）诚实守信，道德品质优良；</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shd w:val="clear" w:color="auto" w:fill="FFFFFF"/>
        </w:rPr>
      </w:pPr>
      <w:r>
        <w:rPr>
          <w:rFonts w:ascii="Times New Roman" w:hAnsi="Times New Roman" w:eastAsia="宋体" w:cs="Times New Roman"/>
          <w:kern w:val="0"/>
          <w:sz w:val="24"/>
          <w:szCs w:val="24"/>
          <w:shd w:val="clear" w:color="auto" w:fill="FFFFFF"/>
        </w:rPr>
        <w:t>（4）学习成绩优异，所修课程平均成绩在80.0分及以上（适用于参评年度内有课程学习的研究生）；</w:t>
      </w:r>
    </w:p>
    <w:p>
      <w:pPr>
        <w:widowControl/>
        <w:shd w:val="clear" w:color="auto" w:fill="FFFFFF"/>
        <w:spacing w:line="360" w:lineRule="auto"/>
        <w:ind w:firstLine="480" w:firstLineChars="200"/>
        <w:rPr>
          <w:rFonts w:ascii="宋体" w:hAnsi="宋体" w:eastAsia="宋体" w:cs="Tahoma"/>
          <w:color w:val="FF0000"/>
          <w:kern w:val="0"/>
          <w:sz w:val="24"/>
          <w:szCs w:val="24"/>
          <w:shd w:val="clear" w:color="auto" w:fill="FFFFFF"/>
        </w:rPr>
      </w:pPr>
      <w:r>
        <w:rPr>
          <w:rFonts w:ascii="Times New Roman" w:hAnsi="Times New Roman" w:eastAsia="宋体" w:cs="Times New Roman"/>
          <w:kern w:val="0"/>
          <w:sz w:val="24"/>
          <w:szCs w:val="24"/>
          <w:shd w:val="clear" w:color="auto" w:fill="FFFFFF"/>
        </w:rPr>
        <w:t>（5）科研能力</w:t>
      </w:r>
      <w:r>
        <w:rPr>
          <w:rFonts w:hint="eastAsia" w:ascii="宋体" w:hAnsi="宋体" w:eastAsia="宋体" w:cs="Tahoma"/>
          <w:kern w:val="0"/>
          <w:sz w:val="24"/>
          <w:szCs w:val="24"/>
          <w:shd w:val="clear" w:color="auto" w:fill="FFFFFF"/>
        </w:rPr>
        <w:t>显著，在北大中文核心期刊或</w:t>
      </w:r>
      <w:r>
        <w:rPr>
          <w:rFonts w:ascii="Times New Roman" w:hAnsi="Times New Roman" w:eastAsia="宋体" w:cs="Times New Roman"/>
          <w:kern w:val="0"/>
          <w:sz w:val="24"/>
          <w:szCs w:val="24"/>
          <w:shd w:val="clear" w:color="auto" w:fill="FFFFFF"/>
        </w:rPr>
        <w:t>CSSCI</w:t>
      </w:r>
      <w:r>
        <w:rPr>
          <w:rFonts w:hint="eastAsia" w:ascii="Times New Roman" w:hAnsi="Times New Roman" w:eastAsia="宋体" w:cs="Times New Roman"/>
          <w:kern w:val="0"/>
          <w:sz w:val="24"/>
          <w:szCs w:val="24"/>
          <w:shd w:val="clear" w:color="auto" w:fill="FFFFFF"/>
        </w:rPr>
        <w:t>期刊，或SCI/SSCI期刊</w:t>
      </w:r>
      <w:r>
        <w:rPr>
          <w:rFonts w:hint="eastAsia" w:ascii="宋体" w:hAnsi="宋体" w:eastAsia="宋体" w:cs="Tahoma"/>
          <w:kern w:val="0"/>
          <w:sz w:val="24"/>
          <w:szCs w:val="24"/>
          <w:shd w:val="clear" w:color="auto" w:fill="FFFFFF"/>
        </w:rPr>
        <w:t>至少发表一篇经济管理类学术论文；或创新发展能力突出，在省级及以上学术、科技、文化等竞赛中获奖；或社会公益活动做出突出贡献，获得省级及以上相关荣誉。其中</w:t>
      </w:r>
      <w:r>
        <w:rPr>
          <w:rFonts w:ascii="宋体" w:hAnsi="宋体" w:eastAsia="宋体" w:cs="Tahoma"/>
          <w:kern w:val="0"/>
          <w:sz w:val="24"/>
          <w:szCs w:val="24"/>
          <w:shd w:val="clear" w:color="auto" w:fill="FFFFFF"/>
        </w:rPr>
        <w:t>，发表论文署名条件如下：</w:t>
      </w:r>
    </w:p>
    <w:p>
      <w:pPr>
        <w:widowControl/>
        <w:shd w:val="clear" w:color="auto" w:fill="FFFFFF"/>
        <w:spacing w:line="360" w:lineRule="auto"/>
        <w:ind w:firstLine="480" w:firstLineChars="200"/>
        <w:rPr>
          <w:rFonts w:ascii="Times New Roman" w:hAnsi="Times New Roman" w:eastAsia="宋体" w:cs="Times New Roman"/>
          <w:kern w:val="0"/>
          <w:sz w:val="24"/>
          <w:szCs w:val="24"/>
          <w:shd w:val="clear" w:color="auto" w:fill="FFFFFF"/>
        </w:rPr>
      </w:pPr>
      <w:r>
        <w:rPr>
          <w:rFonts w:hint="eastAsia" w:ascii="宋体" w:hAnsi="宋体" w:eastAsia="宋体" w:cs="宋体"/>
          <w:sz w:val="24"/>
          <w:szCs w:val="24"/>
        </w:rPr>
        <w:t xml:space="preserve">① </w:t>
      </w:r>
      <w:r>
        <w:rPr>
          <w:rFonts w:ascii="Times New Roman" w:hAnsi="Times New Roman" w:eastAsia="宋体" w:cs="Times New Roman"/>
          <w:kern w:val="0"/>
          <w:sz w:val="24"/>
          <w:szCs w:val="24"/>
          <w:shd w:val="clear" w:color="auto" w:fill="FFFFFF"/>
        </w:rPr>
        <w:t>参评研究生必须是发表论文的</w:t>
      </w:r>
      <w:r>
        <w:rPr>
          <w:rFonts w:hint="eastAsia" w:ascii="Times New Roman" w:hAnsi="Times New Roman" w:eastAsia="宋体" w:cs="Times New Roman"/>
          <w:kern w:val="0"/>
          <w:sz w:val="24"/>
          <w:szCs w:val="24"/>
          <w:shd w:val="clear" w:color="auto" w:fill="FFFFFF"/>
        </w:rPr>
        <w:t>排名首位的</w:t>
      </w:r>
      <w:r>
        <w:rPr>
          <w:rFonts w:ascii="Times New Roman" w:hAnsi="Times New Roman" w:eastAsia="宋体" w:cs="Times New Roman"/>
          <w:kern w:val="0"/>
          <w:sz w:val="24"/>
          <w:szCs w:val="24"/>
          <w:shd w:val="clear" w:color="auto" w:fill="FFFFFF"/>
        </w:rPr>
        <w:t>第一作者，或者参评研究生是发表论文的</w:t>
      </w:r>
      <w:r>
        <w:rPr>
          <w:rFonts w:hint="eastAsia" w:ascii="Times New Roman" w:hAnsi="Times New Roman" w:eastAsia="宋体" w:cs="Times New Roman"/>
          <w:kern w:val="0"/>
          <w:sz w:val="24"/>
          <w:szCs w:val="24"/>
          <w:shd w:val="clear" w:color="auto" w:fill="FFFFFF"/>
        </w:rPr>
        <w:t>排名</w:t>
      </w:r>
      <w:r>
        <w:rPr>
          <w:rFonts w:ascii="Times New Roman" w:hAnsi="Times New Roman" w:eastAsia="宋体" w:cs="Times New Roman"/>
          <w:kern w:val="0"/>
          <w:sz w:val="24"/>
          <w:szCs w:val="24"/>
          <w:shd w:val="clear" w:color="auto" w:fill="FFFFFF"/>
        </w:rPr>
        <w:t>最后</w:t>
      </w:r>
      <w:r>
        <w:rPr>
          <w:rFonts w:hint="eastAsia" w:ascii="Times New Roman" w:hAnsi="Times New Roman" w:eastAsia="宋体" w:cs="Times New Roman"/>
          <w:kern w:val="0"/>
          <w:sz w:val="24"/>
          <w:szCs w:val="24"/>
          <w:shd w:val="clear" w:color="auto" w:fill="FFFFFF"/>
        </w:rPr>
        <w:t>的</w:t>
      </w:r>
      <w:r>
        <w:rPr>
          <w:rFonts w:ascii="Times New Roman" w:hAnsi="Times New Roman" w:eastAsia="宋体" w:cs="Times New Roman"/>
          <w:kern w:val="0"/>
          <w:sz w:val="24"/>
          <w:szCs w:val="24"/>
          <w:shd w:val="clear" w:color="auto" w:fill="FFFFFF"/>
        </w:rPr>
        <w:t>通讯作者，或者参评研究生为第二作者且研究生本人的</w:t>
      </w:r>
      <w:r>
        <w:rPr>
          <w:rFonts w:ascii="宋体" w:hAnsi="宋体" w:eastAsia="宋体" w:cs="Times New Roman"/>
          <w:kern w:val="0"/>
          <w:sz w:val="24"/>
          <w:szCs w:val="24"/>
          <w:shd w:val="clear" w:color="auto" w:fill="FFFFFF"/>
        </w:rPr>
        <w:t>“华农导师”</w:t>
      </w:r>
      <w:r>
        <w:rPr>
          <w:rFonts w:ascii="Times New Roman" w:hAnsi="Times New Roman" w:eastAsia="宋体" w:cs="Times New Roman"/>
          <w:kern w:val="0"/>
          <w:sz w:val="24"/>
          <w:szCs w:val="24"/>
          <w:shd w:val="clear" w:color="auto" w:fill="FFFFFF"/>
        </w:rPr>
        <w:t>为第一作者。</w:t>
      </w:r>
    </w:p>
    <w:p>
      <w:pPr>
        <w:widowControl/>
        <w:shd w:val="clear" w:color="auto" w:fill="FFFFFF"/>
        <w:spacing w:line="360" w:lineRule="auto"/>
        <w:ind w:firstLine="480" w:firstLineChars="200"/>
        <w:rPr>
          <w:rFonts w:ascii="宋体" w:hAnsi="宋体" w:eastAsia="宋体" w:cs="Tahoma"/>
          <w:kern w:val="0"/>
          <w:sz w:val="24"/>
          <w:szCs w:val="24"/>
          <w:shd w:val="clear" w:color="auto" w:fill="FFFFFF"/>
        </w:rPr>
      </w:pPr>
      <w:r>
        <w:rPr>
          <w:rFonts w:hint="eastAsia" w:ascii="宋体" w:hAnsi="宋体" w:eastAsia="宋体" w:cs="宋体"/>
          <w:sz w:val="24"/>
          <w:szCs w:val="24"/>
        </w:rPr>
        <w:t xml:space="preserve">② </w:t>
      </w:r>
      <w:r>
        <w:rPr>
          <w:rFonts w:hint="eastAsia" w:ascii="Times New Roman" w:hAnsi="Times New Roman" w:eastAsia="宋体" w:cs="Times New Roman"/>
          <w:kern w:val="0"/>
          <w:sz w:val="24"/>
          <w:szCs w:val="24"/>
          <w:shd w:val="clear" w:color="auto" w:fill="FFFFFF"/>
        </w:rPr>
        <w:t>论文中参评</w:t>
      </w:r>
      <w:r>
        <w:rPr>
          <w:rFonts w:ascii="Times New Roman" w:hAnsi="Times New Roman" w:eastAsia="宋体" w:cs="Times New Roman"/>
          <w:kern w:val="0"/>
          <w:sz w:val="24"/>
          <w:szCs w:val="24"/>
          <w:shd w:val="clear" w:color="auto" w:fill="FFFFFF"/>
        </w:rPr>
        <w:t>研究生的第一署名单位必须是</w:t>
      </w:r>
      <w:r>
        <w:rPr>
          <w:rFonts w:ascii="宋体" w:hAnsi="宋体" w:eastAsia="宋体" w:cs="Times New Roman"/>
          <w:kern w:val="0"/>
          <w:sz w:val="24"/>
          <w:szCs w:val="24"/>
          <w:shd w:val="clear" w:color="auto" w:fill="FFFFFF"/>
        </w:rPr>
        <w:t>“</w:t>
      </w:r>
      <w:r>
        <w:rPr>
          <w:rFonts w:ascii="Times New Roman" w:hAnsi="Times New Roman" w:eastAsia="宋体" w:cs="Times New Roman"/>
          <w:kern w:val="0"/>
          <w:sz w:val="24"/>
          <w:szCs w:val="24"/>
          <w:shd w:val="clear" w:color="auto" w:fill="FFFFFF"/>
        </w:rPr>
        <w:t>华南农业大学（South China Agricultural University）</w:t>
      </w:r>
      <w:r>
        <w:rPr>
          <w:rFonts w:hint="eastAsia" w:ascii="宋体" w:hAnsi="宋体" w:eastAsia="宋体" w:cs="Tahoma"/>
          <w:kern w:val="0"/>
          <w:sz w:val="24"/>
          <w:szCs w:val="24"/>
          <w:shd w:val="clear" w:color="auto" w:fill="FFFFFF"/>
        </w:rPr>
        <w:t>”经济管理学院即其下设研究机构。</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第四条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研究生有下列情形之一者，不得参评</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（1）在学期间，存在违反学术道德规范或存在学术不端行为者；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（2）在学期间，有违法或受到学校记过及以上纪律处分者；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（3）参评年度，受到学院、学校通报批评或警告、严重警告纪律处分者；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（4）参评年度，有课程考试成绩不及格者；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（5）参评年度，休学半年以上者；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（6）申报评选时间内，未按时办理注册手续者；</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shd w:val="clear" w:color="auto" w:fill="FFFFFF"/>
        </w:rPr>
        <w:t>（7）违反相关规定，参加宗教活动或罢课、游行示威等活动者；</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imes New Roman" w:hAnsi="Times New Roman" w:eastAsia="宋体" w:cs="Times New Roman"/>
          <w:kern w:val="0"/>
          <w:sz w:val="24"/>
          <w:szCs w:val="24"/>
          <w:shd w:val="clear" w:color="auto" w:fill="FFFFFF"/>
        </w:rPr>
        <w:t>（8）</w:t>
      </w:r>
      <w:r>
        <w:rPr>
          <w:rFonts w:hint="eastAsia" w:ascii="宋体" w:hAnsi="宋体" w:eastAsia="宋体" w:cs="Tahoma"/>
          <w:kern w:val="0"/>
          <w:sz w:val="24"/>
          <w:szCs w:val="24"/>
          <w:shd w:val="clear" w:color="auto" w:fill="FFFFFF"/>
        </w:rPr>
        <w:t>违反计划生育规定者。</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第五条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直选条件</w:t>
      </w:r>
    </w:p>
    <w:p>
      <w:pPr>
        <w:widowControl/>
        <w:spacing w:line="360" w:lineRule="auto"/>
        <w:ind w:firstLine="480" w:firstLineChars="200"/>
        <w:jc w:val="left"/>
        <w:rPr>
          <w:rFonts w:ascii="Tahoma" w:hAnsi="Tahoma" w:eastAsia="宋体" w:cs="Tahoma"/>
          <w:kern w:val="0"/>
          <w:sz w:val="24"/>
          <w:szCs w:val="24"/>
          <w:highlight w:val="yellow"/>
        </w:rPr>
      </w:pPr>
      <w:r>
        <w:rPr>
          <w:rFonts w:hint="eastAsia" w:ascii="宋体" w:hAnsi="宋体" w:eastAsia="宋体" w:cs="Tahoma"/>
          <w:kern w:val="0"/>
          <w:sz w:val="24"/>
          <w:szCs w:val="24"/>
          <w:highlight w:val="yellow"/>
        </w:rPr>
        <w:t>在</w:t>
      </w:r>
      <w:r>
        <w:rPr>
          <w:rFonts w:ascii="宋体" w:hAnsi="宋体" w:eastAsia="宋体" w:cs="Tahoma"/>
          <w:kern w:val="0"/>
          <w:sz w:val="24"/>
          <w:szCs w:val="24"/>
          <w:highlight w:val="yellow"/>
        </w:rPr>
        <w:t>符合第三条</w:t>
      </w:r>
      <w:r>
        <w:rPr>
          <w:rFonts w:hint="eastAsia" w:ascii="宋体" w:hAnsi="宋体" w:eastAsia="宋体" w:cs="Tahoma"/>
          <w:kern w:val="0"/>
          <w:sz w:val="24"/>
          <w:szCs w:val="24"/>
          <w:highlight w:val="yellow"/>
        </w:rPr>
        <w:t>和第四条的基础上，博士生在</w:t>
      </w:r>
      <w:r>
        <w:rPr>
          <w:rFonts w:hint="eastAsia" w:ascii="Times New Roman" w:hAnsi="Times New Roman" w:eastAsia="宋体" w:cs="Times New Roman"/>
          <w:kern w:val="0"/>
          <w:sz w:val="24"/>
          <w:szCs w:val="24"/>
          <w:highlight w:val="yellow"/>
        </w:rPr>
        <w:t>T1、T2、</w:t>
      </w:r>
      <w:r>
        <w:rPr>
          <w:rFonts w:hint="eastAsia" w:ascii="Times New Roman" w:hAnsi="Times New Roman" w:eastAsia="宋体" w:cs="Times New Roman"/>
          <w:kern w:val="0"/>
          <w:sz w:val="24"/>
          <w:szCs w:val="24"/>
          <w:highlight w:val="yellow"/>
          <w:lang w:val="en-US" w:eastAsia="zh-CN"/>
        </w:rPr>
        <w:t>A</w:t>
      </w:r>
      <w:r>
        <w:rPr>
          <w:rFonts w:hint="eastAsia" w:ascii="Times New Roman" w:hAnsi="Times New Roman" w:eastAsia="宋体" w:cs="Times New Roman"/>
          <w:kern w:val="0"/>
          <w:sz w:val="24"/>
          <w:szCs w:val="24"/>
          <w:highlight w:val="yellow"/>
        </w:rPr>
        <w:t>类期刊上发表论文</w:t>
      </w:r>
      <w:r>
        <w:rPr>
          <w:rFonts w:hint="eastAsia" w:ascii="宋体" w:hAnsi="宋体" w:eastAsia="宋体" w:cs="Tahoma"/>
          <w:kern w:val="0"/>
          <w:sz w:val="24"/>
          <w:szCs w:val="24"/>
          <w:highlight w:val="yellow"/>
        </w:rPr>
        <w:t>；硕士生在</w:t>
      </w:r>
      <w:r>
        <w:rPr>
          <w:rFonts w:ascii="Times New Roman" w:hAnsi="Times New Roman" w:eastAsia="宋体" w:cs="Times New Roman"/>
          <w:kern w:val="0"/>
          <w:sz w:val="24"/>
          <w:szCs w:val="24"/>
          <w:highlight w:val="yellow"/>
        </w:rPr>
        <w:t>T1、T2、A</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B</w:t>
      </w:r>
      <w:r>
        <w:rPr>
          <w:rFonts w:hint="eastAsia" w:ascii="宋体" w:hAnsi="宋体" w:eastAsia="宋体" w:cs="Tahoma"/>
          <w:kern w:val="0"/>
          <w:sz w:val="24"/>
          <w:szCs w:val="24"/>
          <w:highlight w:val="yellow"/>
        </w:rPr>
        <w:t>类期刊上发表论文，获得直选资格。上述论文必须在参评年度内，</w:t>
      </w:r>
      <w:r>
        <w:rPr>
          <w:rFonts w:hint="eastAsia" w:ascii="宋体" w:hAnsi="宋体" w:eastAsia="宋体" w:cs="Tahoma"/>
          <w:kern w:val="0"/>
          <w:sz w:val="24"/>
          <w:szCs w:val="24"/>
          <w:highlight w:val="yellow"/>
          <w:lang w:eastAsia="zh-CN"/>
        </w:rPr>
        <w:t>期刊分级方案可参照《华南农业大学学术论文评价方案（试行）》（华南农办〔2021〕27号）执行</w:t>
      </w:r>
      <w:r>
        <w:rPr>
          <w:rFonts w:hint="eastAsia" w:ascii="宋体" w:hAnsi="宋体" w:eastAsia="宋体" w:cs="Tahoma"/>
          <w:kern w:val="0"/>
          <w:sz w:val="24"/>
          <w:szCs w:val="24"/>
          <w:highlight w:val="yellow"/>
        </w:rPr>
        <w:t>）。</w:t>
      </w:r>
    </w:p>
    <w:p>
      <w:pPr>
        <w:widowControl/>
        <w:spacing w:line="360" w:lineRule="auto"/>
        <w:ind w:firstLine="480" w:firstLineChars="200"/>
        <w:jc w:val="left"/>
        <w:rPr>
          <w:rFonts w:ascii="Tahoma" w:hAnsi="Tahoma" w:eastAsia="宋体" w:cs="Tahoma"/>
          <w:kern w:val="0"/>
          <w:sz w:val="24"/>
          <w:szCs w:val="24"/>
        </w:rPr>
      </w:pPr>
      <w:r>
        <w:rPr>
          <w:rFonts w:hint="eastAsia" w:ascii="Tahoma" w:hAnsi="Tahoma" w:eastAsia="宋体" w:cs="Tahoma"/>
          <w:kern w:val="0"/>
          <w:sz w:val="24"/>
          <w:szCs w:val="24"/>
        </w:rPr>
        <w:t>当</w:t>
      </w:r>
      <w:r>
        <w:rPr>
          <w:rFonts w:ascii="Tahoma" w:hAnsi="Tahoma" w:eastAsia="宋体" w:cs="Tahoma"/>
          <w:kern w:val="0"/>
          <w:sz w:val="24"/>
          <w:szCs w:val="24"/>
        </w:rPr>
        <w:t>符合直选条件</w:t>
      </w:r>
      <w:r>
        <w:rPr>
          <w:rFonts w:hint="eastAsia" w:ascii="Tahoma" w:hAnsi="Tahoma" w:eastAsia="宋体" w:cs="Tahoma"/>
          <w:kern w:val="0"/>
          <w:sz w:val="24"/>
          <w:szCs w:val="24"/>
        </w:rPr>
        <w:t>申报人数</w:t>
      </w:r>
      <w:r>
        <w:rPr>
          <w:rFonts w:ascii="Tahoma" w:hAnsi="Tahoma" w:eastAsia="宋体" w:cs="Tahoma"/>
          <w:kern w:val="0"/>
          <w:sz w:val="24"/>
          <w:szCs w:val="24"/>
        </w:rPr>
        <w:t>超过学院评选指标时，根据</w:t>
      </w:r>
      <w:r>
        <w:rPr>
          <w:rFonts w:hint="eastAsia" w:ascii="Tahoma" w:hAnsi="Tahoma" w:eastAsia="宋体" w:cs="Tahoma"/>
          <w:kern w:val="0"/>
          <w:sz w:val="24"/>
          <w:szCs w:val="24"/>
        </w:rPr>
        <w:t>经济管理学院</w:t>
      </w:r>
      <w:r>
        <w:rPr>
          <w:rFonts w:ascii="Tahoma" w:hAnsi="Tahoma" w:eastAsia="宋体" w:cs="Tahoma"/>
          <w:kern w:val="0"/>
          <w:sz w:val="24"/>
          <w:szCs w:val="24"/>
        </w:rPr>
        <w:t>研究生国家奖学金评选计分细则</w:t>
      </w:r>
      <w:r>
        <w:rPr>
          <w:rFonts w:hint="eastAsia" w:ascii="Tahoma" w:hAnsi="Tahoma" w:eastAsia="宋体" w:cs="Tahoma"/>
          <w:kern w:val="0"/>
          <w:sz w:val="24"/>
          <w:szCs w:val="24"/>
        </w:rPr>
        <w:t>（见附件一）</w:t>
      </w:r>
      <w:r>
        <w:rPr>
          <w:rFonts w:ascii="Tahoma" w:hAnsi="Tahoma" w:eastAsia="宋体" w:cs="Tahoma"/>
          <w:kern w:val="0"/>
          <w:sz w:val="24"/>
          <w:szCs w:val="24"/>
        </w:rPr>
        <w:t>评分，按照分数高低次序进行评选。</w:t>
      </w:r>
    </w:p>
    <w:p>
      <w:pPr>
        <w:widowControl/>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第三章</w:t>
      </w:r>
      <w:r>
        <w:rPr>
          <w:rFonts w:hint="eastAsia" w:ascii="Tahoma" w:hAnsi="Tahoma" w:eastAsia="宋体" w:cs="Tahoma"/>
          <w:b/>
          <w:kern w:val="0"/>
          <w:sz w:val="28"/>
          <w:szCs w:val="24"/>
          <w:shd w:val="clear" w:color="auto" w:fill="FFFFFF"/>
        </w:rPr>
        <w:t xml:space="preserve">  评审组织与评审办法</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第六条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成立由学院书记、主管研究生工作的副书记和副院长、导师代表、研究生辅导员和研究生代表组成的经济管理学院研究生国家奖学金评审委员会，负责组织和评审工作。</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第七条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具备申请条件的研究生，根据研究生院分配的奖学金名额，按照经济管理学院研究生国家奖学金评选计分细则（见附件一），累计量化，择优评出国家奖学金获得者。</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第四章</w:t>
      </w:r>
      <w:r>
        <w:rPr>
          <w:rFonts w:hint="eastAsia" w:ascii="Tahoma" w:hAnsi="Tahoma" w:eastAsia="宋体" w:cs="Tahoma"/>
          <w:b/>
          <w:kern w:val="0"/>
          <w:sz w:val="28"/>
          <w:szCs w:val="24"/>
          <w:shd w:val="clear" w:color="auto" w:fill="FFFFFF"/>
        </w:rPr>
        <w:t xml:space="preserve">  评审程序</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第八条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研究生国家奖学金采取成果累计制，科研成果可累积参评。在校期间未获得研究生国家奖学金的申请者，其科研成果有效期按入学时间起算；已获得研究生国家奖学金的申请者，其科研成果的有效期按上年度评奖成果计算的截止时间起算。思想品德表现、社会实践评分只限于参评年度内。</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第九条</w:t>
      </w:r>
      <w:r>
        <w:rPr>
          <w:rFonts w:hint="eastAsia" w:ascii="Times New Roman" w:hAnsi="Times New Roman" w:eastAsia="宋体" w:cs="Times New Roman"/>
          <w:kern w:val="0"/>
          <w:sz w:val="24"/>
          <w:szCs w:val="24"/>
        </w:rPr>
        <w:t xml:space="preserve"> </w:t>
      </w:r>
      <w:r>
        <w:rPr>
          <w:rFonts w:hint="eastAsia" w:ascii="宋体" w:hAnsi="宋体" w:eastAsia="宋体" w:cs="Tahoma"/>
          <w:kern w:val="0"/>
          <w:sz w:val="24"/>
          <w:szCs w:val="24"/>
        </w:rPr>
        <w:t>凡取得正式学籍、人事档案已经转入研究生档案室、已注册的非定向（自筹）全日制学术型、专业型研究生均有资格申请，当年毕业学生、外国留学生、港澳台生除外。</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申请者应在规定时间内，向评审委员会提出申请，如实填写评审表格，并提供相关材料原件及复印件。</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第十一条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经学院评审委员会评审，确定获奖研究生名单，并公示</w:t>
      </w:r>
      <w:r>
        <w:rPr>
          <w:rFonts w:ascii="Times New Roman" w:hAnsi="Times New Roman" w:eastAsia="宋体" w:cs="Times New Roman"/>
          <w:kern w:val="0"/>
          <w:sz w:val="24"/>
          <w:szCs w:val="24"/>
          <w:shd w:val="clear" w:color="auto" w:fill="FFFFFF"/>
        </w:rPr>
        <w:t>5</w:t>
      </w:r>
      <w:r>
        <w:rPr>
          <w:rFonts w:hint="eastAsia" w:ascii="宋体" w:hAnsi="宋体" w:eastAsia="宋体" w:cs="Tahoma"/>
          <w:kern w:val="0"/>
          <w:sz w:val="24"/>
          <w:szCs w:val="24"/>
          <w:shd w:val="clear" w:color="auto" w:fill="FFFFFF"/>
        </w:rPr>
        <w:t>个工作日，无异议后上报研究生院。</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第十二条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研究生国家奖学金的评审工作，坚持公开、公平、公正、择优的原则，严格执行国家有关教育法规，严肃处理弄虚作假者。一经发现取消该生在校期间国家奖学金的评审资格，并取消当年各类评奖评优资格，如已发放奖金须追回全部奖学金，学校将予以严肃处理。</w:t>
      </w:r>
    </w:p>
    <w:p>
      <w:pPr>
        <w:widowControl/>
        <w:shd w:val="clear" w:color="auto" w:fill="FFFFFF"/>
        <w:spacing w:line="360" w:lineRule="auto"/>
        <w:ind w:firstLine="480" w:firstLineChars="200"/>
        <w:jc w:val="left"/>
        <w:rPr>
          <w:rFonts w:ascii="Tahoma" w:hAnsi="Tahoma" w:eastAsia="宋体" w:cs="Tahoma"/>
          <w:kern w:val="0"/>
          <w:sz w:val="24"/>
          <w:szCs w:val="24"/>
        </w:rPr>
      </w:pPr>
    </w:p>
    <w:p>
      <w:pPr>
        <w:widowControl/>
        <w:shd w:val="clear" w:color="auto" w:fill="FFFFFF"/>
        <w:spacing w:line="360" w:lineRule="auto"/>
        <w:jc w:val="center"/>
        <w:rPr>
          <w:rFonts w:ascii="Tahoma" w:hAnsi="Tahoma" w:eastAsia="宋体" w:cs="Tahoma"/>
          <w:b/>
          <w:kern w:val="0"/>
          <w:sz w:val="28"/>
          <w:szCs w:val="24"/>
          <w:shd w:val="clear" w:color="auto" w:fill="FFFFFF"/>
        </w:rPr>
      </w:pPr>
      <w:r>
        <w:rPr>
          <w:rFonts w:ascii="Tahoma" w:hAnsi="Tahoma" w:eastAsia="宋体" w:cs="Tahoma"/>
          <w:b/>
          <w:kern w:val="0"/>
          <w:sz w:val="28"/>
          <w:szCs w:val="24"/>
          <w:shd w:val="clear" w:color="auto" w:fill="FFFFFF"/>
        </w:rPr>
        <w:t>第五章</w:t>
      </w:r>
      <w:r>
        <w:rPr>
          <w:rFonts w:hint="eastAsia" w:ascii="Tahoma" w:hAnsi="Tahoma" w:eastAsia="宋体" w:cs="Tahoma"/>
          <w:b/>
          <w:kern w:val="0"/>
          <w:sz w:val="28"/>
          <w:szCs w:val="24"/>
          <w:shd w:val="clear" w:color="auto" w:fill="FFFFFF"/>
        </w:rPr>
        <w:t xml:space="preserve">  附则</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第十三条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本办法由经济管理学院研究生国家奖学金评审委员会负责解释。</w:t>
      </w:r>
    </w:p>
    <w:p>
      <w:pPr>
        <w:widowControl/>
        <w:shd w:val="clear" w:color="auto" w:fill="FFFFFF"/>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shd w:val="clear" w:color="auto" w:fill="FFFFFF"/>
        </w:rPr>
        <w:t>第十四条</w:t>
      </w:r>
      <w:r>
        <w:rPr>
          <w:rFonts w:hint="eastAsia" w:ascii="Tahoma" w:hAnsi="Tahoma" w:eastAsia="宋体" w:cs="Tahoma"/>
          <w:kern w:val="0"/>
          <w:sz w:val="24"/>
          <w:szCs w:val="24"/>
          <w:shd w:val="clear" w:color="auto" w:fill="FFFFFF"/>
        </w:rPr>
        <w:t xml:space="preserve">  </w:t>
      </w:r>
      <w:r>
        <w:rPr>
          <w:rFonts w:hint="eastAsia" w:ascii="宋体" w:hAnsi="宋体" w:eastAsia="宋体" w:cs="Tahoma"/>
          <w:kern w:val="0"/>
          <w:sz w:val="24"/>
          <w:szCs w:val="24"/>
          <w:shd w:val="clear" w:color="auto" w:fill="FFFFFF"/>
        </w:rPr>
        <w:t>本办法与学校文件有不符的，以学校文件为准。</w:t>
      </w:r>
    </w:p>
    <w:p>
      <w:pPr>
        <w:widowControl/>
        <w:shd w:val="clear" w:color="auto" w:fill="FFFFFF"/>
        <w:spacing w:line="360" w:lineRule="auto"/>
        <w:ind w:firstLine="480" w:firstLineChars="200"/>
        <w:jc w:val="left"/>
        <w:rPr>
          <w:rFonts w:ascii="宋体" w:hAnsi="宋体" w:eastAsia="宋体" w:cs="Tahoma"/>
          <w:kern w:val="0"/>
          <w:sz w:val="24"/>
          <w:szCs w:val="24"/>
          <w:shd w:val="clear" w:color="auto" w:fill="FFFFFF"/>
        </w:rPr>
      </w:pPr>
      <w:r>
        <w:rPr>
          <w:rFonts w:ascii="Tahoma" w:hAnsi="Tahoma" w:eastAsia="宋体" w:cs="Tahoma"/>
          <w:kern w:val="0"/>
          <w:sz w:val="24"/>
          <w:szCs w:val="24"/>
          <w:shd w:val="clear" w:color="auto" w:fill="FFFFFF"/>
        </w:rPr>
        <w:t>第十五条</w:t>
      </w:r>
      <w:r>
        <w:rPr>
          <w:rFonts w:hint="eastAsia" w:ascii="Times New Roman" w:hAnsi="Times New Roman" w:eastAsia="宋体" w:cs="Times New Roman"/>
          <w:kern w:val="0"/>
          <w:sz w:val="24"/>
          <w:szCs w:val="24"/>
          <w:shd w:val="clear" w:color="auto" w:fill="FFFFFF"/>
        </w:rPr>
        <w:t xml:space="preserve">  </w:t>
      </w:r>
      <w:r>
        <w:rPr>
          <w:rFonts w:hint="eastAsia" w:ascii="宋体" w:hAnsi="宋体" w:eastAsia="宋体" w:cs="Tahoma"/>
          <w:kern w:val="0"/>
          <w:sz w:val="24"/>
          <w:szCs w:val="24"/>
          <w:shd w:val="clear" w:color="auto" w:fill="FFFFFF"/>
        </w:rPr>
        <w:t>本办法自公布之日起实施。</w:t>
      </w:r>
    </w:p>
    <w:p>
      <w:pPr>
        <w:widowControl/>
        <w:shd w:val="clear" w:color="auto" w:fill="FFFFFF"/>
        <w:spacing w:before="100" w:beforeAutospacing="1" w:after="100" w:afterAutospacing="1"/>
        <w:ind w:firstLine="480" w:firstLineChars="200"/>
        <w:jc w:val="left"/>
        <w:rPr>
          <w:rFonts w:ascii="Tahoma" w:hAnsi="Tahoma" w:eastAsia="宋体" w:cs="Tahoma"/>
          <w:kern w:val="0"/>
          <w:sz w:val="24"/>
          <w:szCs w:val="24"/>
        </w:rPr>
      </w:pPr>
    </w:p>
    <w:p>
      <w:pPr>
        <w:widowControl/>
        <w:shd w:val="clear" w:color="auto" w:fill="FFFFFF"/>
        <w:spacing w:before="100" w:beforeAutospacing="1" w:after="100" w:afterAutospacing="1"/>
        <w:ind w:firstLine="5640" w:firstLineChars="2350"/>
        <w:jc w:val="left"/>
        <w:rPr>
          <w:rFonts w:ascii="Tahoma" w:hAnsi="Tahoma" w:eastAsia="宋体" w:cs="Tahoma"/>
          <w:kern w:val="0"/>
          <w:sz w:val="24"/>
          <w:szCs w:val="24"/>
        </w:rPr>
      </w:pPr>
      <w:r>
        <w:rPr>
          <w:rFonts w:ascii="Tahoma" w:hAnsi="Tahoma" w:eastAsia="宋体" w:cs="Tahoma"/>
          <w:kern w:val="0"/>
          <w:sz w:val="24"/>
          <w:szCs w:val="24"/>
          <w:shd w:val="clear" w:color="auto" w:fill="FFFFFF"/>
        </w:rPr>
        <w:t>华南农业大学经济管理学院</w:t>
      </w:r>
    </w:p>
    <w:p>
      <w:pPr>
        <w:widowControl/>
        <w:shd w:val="clear" w:color="auto" w:fill="FFFFFF"/>
        <w:spacing w:before="100" w:beforeAutospacing="1" w:after="100" w:afterAutospacing="1"/>
        <w:ind w:firstLine="4560" w:firstLineChars="1900"/>
        <w:jc w:val="right"/>
        <w:rPr>
          <w:rFonts w:ascii="Tahoma" w:hAnsi="Tahoma" w:eastAsia="宋体" w:cs="Tahoma"/>
          <w:kern w:val="0"/>
          <w:sz w:val="24"/>
          <w:szCs w:val="24"/>
        </w:rPr>
      </w:pPr>
      <w:r>
        <w:rPr>
          <w:rFonts w:ascii="Tahoma" w:hAnsi="Tahoma" w:eastAsia="宋体" w:cs="Tahoma"/>
          <w:kern w:val="0"/>
          <w:sz w:val="24"/>
          <w:szCs w:val="24"/>
          <w:shd w:val="clear" w:color="auto" w:fill="FFFFFF"/>
        </w:rPr>
        <w:t>二〇</w:t>
      </w:r>
      <w:r>
        <w:rPr>
          <w:rFonts w:hint="eastAsia" w:ascii="Tahoma" w:hAnsi="Tahoma" w:eastAsia="宋体" w:cs="Tahoma"/>
          <w:kern w:val="0"/>
          <w:sz w:val="24"/>
          <w:szCs w:val="24"/>
          <w:shd w:val="clear" w:color="auto" w:fill="FFFFFF"/>
        </w:rPr>
        <w:t>二</w:t>
      </w:r>
      <w:r>
        <w:rPr>
          <w:rFonts w:hint="eastAsia" w:ascii="Tahoma" w:hAnsi="Tahoma" w:eastAsia="宋体" w:cs="Tahoma"/>
          <w:kern w:val="0"/>
          <w:sz w:val="24"/>
          <w:szCs w:val="24"/>
          <w:shd w:val="clear" w:color="auto" w:fill="FFFFFF"/>
          <w:lang w:val="en-US" w:eastAsia="zh-CN"/>
        </w:rPr>
        <w:t>一</w:t>
      </w:r>
      <w:r>
        <w:rPr>
          <w:rFonts w:ascii="Tahoma" w:hAnsi="Tahoma" w:eastAsia="宋体" w:cs="Tahoma"/>
          <w:kern w:val="0"/>
          <w:sz w:val="24"/>
          <w:szCs w:val="24"/>
          <w:shd w:val="clear" w:color="auto" w:fill="FFFFFF"/>
        </w:rPr>
        <w:t>年</w:t>
      </w:r>
      <w:r>
        <w:rPr>
          <w:rFonts w:hint="eastAsia" w:ascii="Tahoma" w:hAnsi="Tahoma" w:eastAsia="宋体" w:cs="Tahoma"/>
          <w:kern w:val="0"/>
          <w:sz w:val="24"/>
          <w:szCs w:val="24"/>
          <w:shd w:val="clear" w:color="auto" w:fill="FFFFFF"/>
        </w:rPr>
        <w:t>十</w:t>
      </w:r>
      <w:r>
        <w:rPr>
          <w:rFonts w:ascii="Tahoma" w:hAnsi="Tahoma" w:eastAsia="宋体" w:cs="Tahoma"/>
          <w:kern w:val="0"/>
          <w:sz w:val="24"/>
          <w:szCs w:val="24"/>
          <w:shd w:val="clear" w:color="auto" w:fill="FFFFFF"/>
        </w:rPr>
        <w:t>月</w:t>
      </w:r>
    </w:p>
    <w:p>
      <w:pPr>
        <w:widowControl/>
        <w:shd w:val="clear" w:color="auto" w:fill="FFFFFF"/>
        <w:spacing w:before="100" w:beforeAutospacing="1" w:after="100" w:afterAutospacing="1"/>
        <w:jc w:val="left"/>
        <w:rPr>
          <w:rFonts w:ascii="宋体" w:hAnsi="宋体" w:eastAsia="宋体" w:cs="Tahoma"/>
          <w:b/>
          <w:kern w:val="0"/>
          <w:sz w:val="24"/>
          <w:szCs w:val="24"/>
          <w:shd w:val="clear" w:color="auto" w:fill="FFFFFF"/>
        </w:rPr>
      </w:pPr>
      <w:r>
        <w:rPr>
          <w:rFonts w:hint="eastAsia" w:ascii="Tahoma" w:hAnsi="Tahoma" w:eastAsia="宋体" w:cs="Tahoma"/>
          <w:b/>
          <w:kern w:val="0"/>
          <w:sz w:val="24"/>
          <w:szCs w:val="24"/>
          <w:shd w:val="clear" w:color="auto" w:fill="FFFFFF"/>
        </w:rPr>
        <w:t>附件一：</w:t>
      </w:r>
      <w:r>
        <w:rPr>
          <w:rFonts w:hint="eastAsia" w:ascii="宋体" w:hAnsi="宋体" w:eastAsia="宋体" w:cs="Tahoma"/>
          <w:b/>
          <w:kern w:val="0"/>
          <w:sz w:val="24"/>
          <w:szCs w:val="24"/>
          <w:shd w:val="clear" w:color="auto" w:fill="FFFFFF"/>
        </w:rPr>
        <w:t>经济管理学院研究生国家奖学金评选计分细则</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研究生国家奖学金评选根据申请者在思想品德、社会实践和科研成果等方面的综合表现进行评分，满分为</w:t>
      </w:r>
      <w:r>
        <w:rPr>
          <w:rFonts w:ascii="Times New Roman" w:hAnsi="Times New Roman" w:eastAsia="宋体" w:cs="Times New Roman"/>
          <w:kern w:val="0"/>
          <w:sz w:val="24"/>
          <w:szCs w:val="24"/>
        </w:rPr>
        <w:t>100</w:t>
      </w:r>
      <w:r>
        <w:rPr>
          <w:rFonts w:hint="eastAsia" w:ascii="宋体" w:hAnsi="宋体" w:eastAsia="宋体" w:cs="Tahoma"/>
          <w:kern w:val="0"/>
          <w:sz w:val="24"/>
          <w:szCs w:val="24"/>
        </w:rPr>
        <w:t>分。具体评分标准如下：</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思想品德（满分</w:t>
      </w:r>
      <w:r>
        <w:rPr>
          <w:rFonts w:ascii="Times New Roman" w:hAnsi="Times New Roman" w:eastAsia="宋体" w:cs="Times New Roman"/>
          <w:kern w:val="0"/>
          <w:sz w:val="24"/>
          <w:szCs w:val="24"/>
        </w:rPr>
        <w:t>5</w:t>
      </w:r>
      <w:r>
        <w:rPr>
          <w:rFonts w:hint="eastAsia" w:ascii="宋体" w:hAnsi="宋体" w:eastAsia="宋体" w:cs="Tahoma"/>
          <w:kern w:val="0"/>
          <w:sz w:val="24"/>
          <w:szCs w:val="24"/>
        </w:rPr>
        <w:t>分，参评年度内有效）</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满足以下条件者，可获得满分</w:t>
      </w:r>
      <w:r>
        <w:rPr>
          <w:rFonts w:ascii="Times New Roman" w:hAnsi="Times New Roman" w:eastAsia="宋体" w:cs="Times New Roman"/>
          <w:kern w:val="0"/>
          <w:sz w:val="24"/>
          <w:szCs w:val="24"/>
        </w:rPr>
        <w:t>5</w:t>
      </w:r>
      <w:r>
        <w:rPr>
          <w:rFonts w:hint="eastAsia" w:ascii="宋体" w:hAnsi="宋体" w:eastAsia="宋体" w:cs="Tahoma"/>
          <w:kern w:val="0"/>
          <w:sz w:val="24"/>
          <w:szCs w:val="24"/>
        </w:rPr>
        <w:t>分：热爱祖国，热爱人民，坚决拥护中国共产党的领导和社会主义制度，具有坚定的政治方向和良好的思想道德修养，遵纪守法，爱护公共财产，团结同学，乐于助人，求真务实，热心参与爱国主义活动和校内外公益实践活动。</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有下列情况者，予以相应扣分处理：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（一）有失社会公德、扰乱公共秩序、违背校园文明的言行，不听他人劝阻，尚不够纪律处分者，一经查实，扣</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次。</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（二）不讲诚信，通过提供虚假信息或者其他造假行为为自己谋利，尚不够纪律处分者，一经查实，扣</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次。</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社会实践（满分</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分，参评年度内有效）</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满足以下条件者，可获得基本分</w:t>
      </w:r>
      <w:r>
        <w:rPr>
          <w:rFonts w:ascii="Times New Roman" w:hAnsi="Times New Roman" w:eastAsia="宋体" w:cs="Times New Roman"/>
          <w:kern w:val="0"/>
          <w:sz w:val="24"/>
          <w:szCs w:val="24"/>
        </w:rPr>
        <w:t>10</w:t>
      </w:r>
      <w:r>
        <w:rPr>
          <w:rFonts w:hint="eastAsia" w:ascii="宋体" w:hAnsi="宋体" w:eastAsia="宋体" w:cs="Tahoma"/>
          <w:kern w:val="0"/>
          <w:sz w:val="24"/>
          <w:szCs w:val="24"/>
        </w:rPr>
        <w:t>分：积极组织和参与校院集体活动和社会公益实践活动；学生工作表现优良，乐于奉献和服务；积极参加导师科研课题和社会调研，听取学术报告</w:t>
      </w:r>
      <w:r>
        <w:rPr>
          <w:rFonts w:ascii="Times New Roman" w:hAnsi="Times New Roman" w:eastAsia="宋体" w:cs="Times New Roman"/>
          <w:kern w:val="0"/>
          <w:sz w:val="24"/>
          <w:szCs w:val="24"/>
        </w:rPr>
        <w:t>10</w:t>
      </w:r>
      <w:r>
        <w:rPr>
          <w:rFonts w:hint="eastAsia" w:ascii="宋体" w:hAnsi="宋体" w:eastAsia="宋体" w:cs="Tahoma"/>
          <w:kern w:val="0"/>
          <w:sz w:val="24"/>
          <w:szCs w:val="24"/>
        </w:rPr>
        <w:t>次及以上。学生参加国内外学术会议的，公开在学术会议上进行学术汇报的，汇报一次可计算为参加5次学术报告，提交会议论文但未进行公开汇报的，每提交一篇可计算为参加2次学术报告。</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满足以下条件者，可获得相应加分（满</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（一）科教文体活动</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参加校市级活动获一、二、三等奖者，每人次分别加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1</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参加省部级活动获一、二、三等奖者，每人次分别加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ascii="Times New Roman" w:hAnsi="Times New Roman" w:eastAsia="宋体" w:cs="Times New Roman"/>
          <w:kern w:val="0"/>
          <w:sz w:val="24"/>
          <w:szCs w:val="24"/>
        </w:rPr>
        <w:t>2.5</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2</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参加国家级及以上活动获一、二、三等奖者，每人次分别加</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r>
        <w:rPr>
          <w:rFonts w:ascii="Times New Roman" w:hAnsi="Times New Roman" w:eastAsia="宋体" w:cs="Times New Roman"/>
          <w:kern w:val="0"/>
          <w:sz w:val="24"/>
          <w:szCs w:val="24"/>
        </w:rPr>
        <w:t>4</w:t>
      </w:r>
      <w:r>
        <w:rPr>
          <w:rFonts w:hint="eastAsia" w:ascii="宋体" w:hAnsi="宋体" w:eastAsia="宋体" w:cs="Tahoma"/>
          <w:kern w:val="0"/>
          <w:sz w:val="24"/>
          <w:szCs w:val="24"/>
        </w:rPr>
        <w:t>分和</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p>
    <w:p>
      <w:pPr>
        <w:widowControl/>
        <w:spacing w:line="360" w:lineRule="auto"/>
        <w:ind w:firstLine="480" w:firstLineChars="200"/>
        <w:jc w:val="left"/>
        <w:rPr>
          <w:rFonts w:ascii="Tahoma" w:hAnsi="Tahoma" w:eastAsia="宋体" w:cs="Tahoma"/>
          <w:color w:val="FF0000"/>
          <w:kern w:val="0"/>
          <w:sz w:val="24"/>
          <w:szCs w:val="24"/>
        </w:rPr>
      </w:pPr>
      <w:r>
        <w:rPr>
          <w:rFonts w:ascii="Tahoma" w:hAnsi="Tahoma" w:eastAsia="宋体" w:cs="Tahoma"/>
          <w:kern w:val="0"/>
          <w:sz w:val="24"/>
          <w:szCs w:val="24"/>
        </w:rPr>
        <w:t>以上获奖加分均应有证书或等价文件证实，否则不得加分。同一项目获奖以最高分计算。获得其他奖项按照同等层次类似级别计分，如省部级优胜奖按照校市级最高奖项加分。</w:t>
      </w:r>
      <w:r>
        <w:rPr>
          <w:rFonts w:hint="eastAsia" w:ascii="Tahoma" w:hAnsi="Tahoma" w:eastAsia="宋体" w:cs="Tahoma"/>
          <w:kern w:val="0"/>
          <w:sz w:val="24"/>
          <w:szCs w:val="24"/>
        </w:rPr>
        <w:t>集体项目获奖则参与者减半加分。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（二）社会公益与实践活动</w:t>
      </w:r>
    </w:p>
    <w:p>
      <w:pPr>
        <w:widowControl/>
        <w:spacing w:line="360" w:lineRule="auto"/>
        <w:ind w:firstLine="480" w:firstLineChars="200"/>
        <w:jc w:val="left"/>
        <w:rPr>
          <w:rFonts w:ascii="宋体" w:hAnsi="宋体" w:eastAsia="宋体" w:cs="Tahoma"/>
          <w:color w:val="FF0000"/>
          <w:kern w:val="0"/>
          <w:sz w:val="24"/>
          <w:szCs w:val="24"/>
        </w:rPr>
      </w:pPr>
      <w:r>
        <w:rPr>
          <w:rFonts w:ascii="Tahoma" w:hAnsi="Tahoma" w:eastAsia="宋体" w:cs="Tahoma"/>
          <w:kern w:val="0"/>
          <w:sz w:val="24"/>
          <w:szCs w:val="24"/>
        </w:rPr>
        <w:t>参加各种科技兴农、科技咨询和挂职锻炼等社会实践活动（博士团、三下乡等），受校</w:t>
      </w:r>
      <w:r>
        <w:rPr>
          <w:rFonts w:hint="eastAsia" w:ascii="Tahoma" w:hAnsi="Tahoma" w:eastAsia="宋体" w:cs="Tahoma"/>
          <w:kern w:val="0"/>
          <w:sz w:val="24"/>
          <w:szCs w:val="24"/>
        </w:rPr>
        <w:t>级表彰者，每人次加</w:t>
      </w:r>
      <w:r>
        <w:rPr>
          <w:rFonts w:ascii="Times New Roman" w:hAnsi="Times New Roman" w:eastAsia="宋体" w:cs="Times New Roman"/>
          <w:kern w:val="0"/>
          <w:sz w:val="24"/>
          <w:szCs w:val="24"/>
        </w:rPr>
        <w:t>1</w:t>
      </w:r>
      <w:r>
        <w:rPr>
          <w:rFonts w:hint="eastAsia" w:ascii="Tahoma" w:hAnsi="Tahoma" w:eastAsia="宋体" w:cs="Tahoma"/>
          <w:kern w:val="0"/>
          <w:sz w:val="24"/>
          <w:szCs w:val="24"/>
        </w:rPr>
        <w:t>分；</w:t>
      </w:r>
      <w:r>
        <w:rPr>
          <w:rFonts w:ascii="Tahoma" w:hAnsi="Tahoma" w:eastAsia="宋体" w:cs="Tahoma"/>
          <w:kern w:val="0"/>
          <w:sz w:val="24"/>
          <w:szCs w:val="24"/>
        </w:rPr>
        <w:t>市级单位表彰者，每人次加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分；受省部级单位表彰者，每人次加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w:t>
      </w:r>
      <w:r>
        <w:rPr>
          <w:rFonts w:hint="eastAsia" w:ascii="Tahoma" w:hAnsi="Tahoma" w:eastAsia="宋体" w:cs="Tahoma"/>
          <w:kern w:val="0"/>
          <w:sz w:val="24"/>
          <w:szCs w:val="24"/>
        </w:rPr>
        <w:t>受国家表彰者，每人次加</w:t>
      </w:r>
      <w:r>
        <w:rPr>
          <w:rFonts w:ascii="Times New Roman" w:hAnsi="Times New Roman" w:eastAsia="宋体" w:cs="Times New Roman"/>
          <w:kern w:val="0"/>
          <w:sz w:val="24"/>
          <w:szCs w:val="24"/>
        </w:rPr>
        <w:t>5</w:t>
      </w:r>
      <w:r>
        <w:rPr>
          <w:rFonts w:hint="eastAsia" w:ascii="Tahoma" w:hAnsi="Tahoma" w:eastAsia="宋体" w:cs="Tahoma"/>
          <w:kern w:val="0"/>
          <w:sz w:val="24"/>
          <w:szCs w:val="24"/>
        </w:rPr>
        <w:t>分。集体项目获奖则参与者减半加分。</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在见义勇为、拾金不昧、帮弱助残、抢险救灾、抢救伤残等方面有突出事迹，受校市级单位表彰者，每人次加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分；受省部级单位表彰者，每人次加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分；受国家级单位表彰者，每人次加</w:t>
      </w:r>
      <w:r>
        <w:rPr>
          <w:rFonts w:ascii="Times New Roman" w:hAnsi="Times New Roman" w:eastAsia="宋体" w:cs="Times New Roman"/>
          <w:kern w:val="0"/>
          <w:sz w:val="24"/>
          <w:szCs w:val="24"/>
        </w:rPr>
        <w:t>5</w:t>
      </w:r>
      <w:r>
        <w:rPr>
          <w:rFonts w:hint="eastAsia" w:ascii="宋体" w:hAnsi="宋体" w:eastAsia="宋体" w:cs="Tahoma"/>
          <w:kern w:val="0"/>
          <w:sz w:val="24"/>
          <w:szCs w:val="24"/>
        </w:rPr>
        <w:t>分。</w:t>
      </w:r>
    </w:p>
    <w:p>
      <w:pPr>
        <w:widowControl/>
        <w:spacing w:line="360" w:lineRule="auto"/>
        <w:ind w:firstLine="468" w:firstLineChars="200"/>
        <w:jc w:val="left"/>
        <w:rPr>
          <w:rFonts w:ascii="Tahoma" w:hAnsi="Tahoma" w:eastAsia="宋体" w:cs="Tahoma"/>
          <w:kern w:val="0"/>
          <w:sz w:val="24"/>
          <w:szCs w:val="24"/>
        </w:rPr>
      </w:pPr>
      <w:r>
        <w:rPr>
          <w:rFonts w:hint="eastAsia" w:ascii="宋体" w:hAnsi="宋体" w:eastAsia="宋体" w:cs="宋体"/>
          <w:spacing w:val="-3"/>
          <w:kern w:val="0"/>
          <w:sz w:val="24"/>
        </w:rPr>
        <w:t>主持广东省“攀登计划”项目的，项目负责人可在项目申报成功当年，申请加5分，项目持续期间不再重复加分。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以上表彰加分均应有证书或等价文件证实，否则不得加分。同一事迹多次受表彰者，按照最高级别加分。</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（三）学生工作实践</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担任校级以上</w:t>
      </w:r>
      <w:r>
        <w:rPr>
          <w:rFonts w:hint="eastAsia" w:ascii="Tahoma" w:hAnsi="Tahoma" w:eastAsia="宋体" w:cs="Tahoma"/>
          <w:kern w:val="0"/>
          <w:sz w:val="24"/>
          <w:szCs w:val="24"/>
        </w:rPr>
        <w:t>（</w:t>
      </w:r>
      <w:r>
        <w:rPr>
          <w:rFonts w:ascii="Tahoma" w:hAnsi="Tahoma" w:eastAsia="宋体" w:cs="Tahoma"/>
          <w:kern w:val="0"/>
          <w:sz w:val="24"/>
          <w:szCs w:val="24"/>
        </w:rPr>
        <w:t>不含校级）学生干部加</w:t>
      </w:r>
      <w:r>
        <w:rPr>
          <w:rFonts w:hint="eastAsia" w:ascii="Times New Roman" w:hAnsi="Times New Roman" w:eastAsia="宋体" w:cs="Times New Roman"/>
          <w:kern w:val="0"/>
          <w:sz w:val="24"/>
          <w:szCs w:val="24"/>
        </w:rPr>
        <w:t>3</w:t>
      </w:r>
      <w:r>
        <w:rPr>
          <w:rFonts w:hint="eastAsia" w:ascii="宋体" w:hAnsi="宋体" w:eastAsia="宋体" w:cs="Tahoma"/>
          <w:kern w:val="0"/>
          <w:sz w:val="24"/>
          <w:szCs w:val="24"/>
        </w:rPr>
        <w:t>分；担任学校研究生团委书记、研究生会主席团，学院研究生团总支书记、研究生会主席团、</w:t>
      </w:r>
      <w:r>
        <w:rPr>
          <w:rFonts w:ascii="宋体" w:hAnsi="宋体" w:eastAsia="宋体" w:cs="Tahoma"/>
          <w:kern w:val="0"/>
          <w:sz w:val="24"/>
          <w:szCs w:val="24"/>
        </w:rPr>
        <w:t>党支部书记</w:t>
      </w:r>
      <w:r>
        <w:rPr>
          <w:rFonts w:hint="eastAsia" w:ascii="宋体" w:hAnsi="宋体" w:eastAsia="宋体" w:cs="Tahoma"/>
          <w:kern w:val="0"/>
          <w:sz w:val="24"/>
          <w:szCs w:val="24"/>
        </w:rPr>
        <w:t>等职务，加</w:t>
      </w:r>
      <w:r>
        <w:rPr>
          <w:rFonts w:ascii="Times New Roman" w:hAnsi="Times New Roman" w:eastAsia="宋体" w:cs="Times New Roman"/>
          <w:kern w:val="0"/>
          <w:sz w:val="24"/>
          <w:szCs w:val="24"/>
        </w:rPr>
        <w:t>3</w:t>
      </w:r>
      <w:r>
        <w:rPr>
          <w:rFonts w:hint="eastAsia" w:ascii="宋体" w:hAnsi="宋体" w:eastAsia="宋体" w:cs="Tahoma"/>
          <w:kern w:val="0"/>
          <w:sz w:val="24"/>
          <w:szCs w:val="24"/>
        </w:rPr>
        <w:t>分；担任学校研究生团委部长、研究生会部长，学院研究生团总支部长、研究生会部长，党支部支委、团支部书记、班长等职务，加</w:t>
      </w:r>
      <w:r>
        <w:rPr>
          <w:rFonts w:ascii="Times New Roman" w:hAnsi="Times New Roman" w:eastAsia="宋体" w:cs="Times New Roman"/>
          <w:kern w:val="0"/>
          <w:sz w:val="24"/>
          <w:szCs w:val="24"/>
        </w:rPr>
        <w:t>2</w:t>
      </w:r>
      <w:r>
        <w:rPr>
          <w:rFonts w:hint="eastAsia" w:ascii="宋体" w:hAnsi="宋体" w:eastAsia="宋体" w:cs="Tahoma"/>
          <w:kern w:val="0"/>
          <w:sz w:val="24"/>
          <w:szCs w:val="24"/>
        </w:rPr>
        <w:t>分。其他校院学生干部加</w:t>
      </w:r>
      <w:r>
        <w:rPr>
          <w:rFonts w:ascii="Times New Roman" w:hAnsi="Times New Roman" w:eastAsia="宋体" w:cs="Times New Roman"/>
          <w:kern w:val="0"/>
          <w:sz w:val="24"/>
          <w:szCs w:val="24"/>
        </w:rPr>
        <w:t>1</w:t>
      </w:r>
      <w:r>
        <w:rPr>
          <w:rFonts w:hint="eastAsia" w:ascii="宋体" w:hAnsi="宋体" w:eastAsia="宋体" w:cs="Tahoma"/>
          <w:kern w:val="0"/>
          <w:sz w:val="24"/>
          <w:szCs w:val="24"/>
        </w:rPr>
        <w:t>分。担任学生干部不累计加分，不满半年的不加分。</w:t>
      </w:r>
    </w:p>
    <w:p>
      <w:pPr>
        <w:widowControl/>
        <w:spacing w:line="360" w:lineRule="auto"/>
        <w:ind w:firstLine="480" w:firstLineChars="200"/>
        <w:jc w:val="left"/>
        <w:rPr>
          <w:rFonts w:ascii="宋体" w:hAnsi="宋体" w:eastAsia="宋体" w:cs="Tahoma"/>
          <w:kern w:val="0"/>
          <w:sz w:val="24"/>
          <w:szCs w:val="24"/>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b/>
                <w:spacing w:val="-3"/>
                <w:kern w:val="0"/>
                <w:sz w:val="24"/>
              </w:rPr>
            </w:pPr>
            <w:r>
              <w:rPr>
                <w:rFonts w:hint="eastAsia" w:ascii="宋体" w:hAnsi="宋体" w:eastAsia="宋体" w:cs="宋体"/>
                <w:b/>
                <w:spacing w:val="-3"/>
                <w:kern w:val="0"/>
                <w:sz w:val="24"/>
              </w:rPr>
              <w:t>类 别</w:t>
            </w:r>
          </w:p>
        </w:tc>
        <w:tc>
          <w:tcPr>
            <w:tcW w:w="1453" w:type="dxa"/>
            <w:vAlign w:val="center"/>
          </w:tcPr>
          <w:p>
            <w:pPr>
              <w:spacing w:line="360" w:lineRule="auto"/>
              <w:jc w:val="center"/>
              <w:rPr>
                <w:rFonts w:ascii="宋体" w:hAnsi="宋体" w:eastAsia="宋体" w:cs="宋体"/>
                <w:b/>
                <w:spacing w:val="-3"/>
                <w:kern w:val="0"/>
                <w:sz w:val="24"/>
              </w:rPr>
            </w:pPr>
            <w:r>
              <w:rPr>
                <w:rFonts w:hint="eastAsia" w:ascii="宋体" w:hAnsi="宋体" w:eastAsia="宋体" w:cs="宋体"/>
                <w:b/>
                <w:spacing w:val="-3"/>
                <w:kern w:val="0"/>
                <w:sz w:val="24"/>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86" w:type="dxa"/>
            <w:vAlign w:val="center"/>
          </w:tcPr>
          <w:p>
            <w:pPr>
              <w:spacing w:line="360" w:lineRule="auto"/>
              <w:jc w:val="center"/>
              <w:rPr>
                <w:rFonts w:ascii="宋体" w:hAnsi="宋体" w:eastAsia="宋体" w:cs="宋体"/>
                <w:spacing w:val="-3"/>
                <w:kern w:val="0"/>
                <w:sz w:val="24"/>
              </w:rPr>
            </w:pPr>
            <w:r>
              <w:rPr>
                <w:rFonts w:ascii="Tahoma" w:hAnsi="Tahoma" w:eastAsia="宋体" w:cs="Tahoma"/>
                <w:kern w:val="0"/>
                <w:sz w:val="24"/>
                <w:szCs w:val="24"/>
              </w:rPr>
              <w:t>校级以上</w:t>
            </w:r>
            <w:r>
              <w:rPr>
                <w:rFonts w:hint="eastAsia" w:ascii="Tahoma" w:hAnsi="Tahoma" w:eastAsia="宋体" w:cs="Tahoma"/>
                <w:kern w:val="0"/>
                <w:sz w:val="24"/>
                <w:szCs w:val="24"/>
              </w:rPr>
              <w:t>（</w:t>
            </w:r>
            <w:r>
              <w:rPr>
                <w:rFonts w:ascii="Tahoma" w:hAnsi="Tahoma" w:eastAsia="宋体" w:cs="Tahoma"/>
                <w:kern w:val="0"/>
                <w:sz w:val="24"/>
                <w:szCs w:val="24"/>
              </w:rPr>
              <w:t>不含校级）学生干部</w:t>
            </w:r>
            <w:r>
              <w:rPr>
                <w:rFonts w:hint="eastAsia" w:ascii="Tahoma" w:hAnsi="Tahoma" w:eastAsia="宋体" w:cs="Tahoma"/>
                <w:kern w:val="0"/>
                <w:sz w:val="24"/>
                <w:szCs w:val="24"/>
              </w:rPr>
              <w:t>、</w:t>
            </w:r>
            <w:r>
              <w:rPr>
                <w:rFonts w:hint="eastAsia" w:ascii="宋体" w:hAnsi="宋体" w:eastAsia="宋体" w:cs="Tahoma"/>
                <w:kern w:val="0"/>
                <w:sz w:val="24"/>
                <w:szCs w:val="24"/>
              </w:rPr>
              <w:t>学校研究生团委书记、研究生会主席团，学院研究生团总支书记、研究生会主席团</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spacing w:val="-3"/>
                <w:kern w:val="0"/>
                <w:sz w:val="24"/>
              </w:rPr>
            </w:pPr>
            <w:r>
              <w:rPr>
                <w:rFonts w:hint="eastAsia" w:ascii="宋体" w:hAnsi="宋体" w:eastAsia="宋体" w:cs="Tahoma"/>
                <w:kern w:val="0"/>
                <w:sz w:val="24"/>
                <w:szCs w:val="24"/>
              </w:rPr>
              <w:t>学校研究生团委部长、研究生会部长，学院研究生团总支部长、研究生会部长，团支部书记、班长、党支部</w:t>
            </w:r>
            <w:r>
              <w:rPr>
                <w:rFonts w:hint="eastAsia" w:ascii="宋体" w:hAnsi="宋体" w:eastAsia="宋体" w:cs="Tahoma"/>
                <w:kern w:val="0"/>
                <w:sz w:val="24"/>
                <w:szCs w:val="24"/>
                <w:highlight w:val="yellow"/>
                <w:lang w:val="en-US" w:eastAsia="zh-CN"/>
              </w:rPr>
              <w:t>副</w:t>
            </w:r>
            <w:r>
              <w:rPr>
                <w:rFonts w:hint="eastAsia" w:ascii="宋体" w:hAnsi="宋体" w:eastAsia="宋体" w:cs="Tahoma"/>
                <w:kern w:val="0"/>
                <w:sz w:val="24"/>
                <w:szCs w:val="24"/>
                <w:highlight w:val="yellow"/>
              </w:rPr>
              <w:t>书记</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6" w:type="dxa"/>
            <w:vAlign w:val="center"/>
          </w:tcPr>
          <w:p>
            <w:pPr>
              <w:spacing w:line="360" w:lineRule="auto"/>
              <w:jc w:val="center"/>
              <w:rPr>
                <w:rFonts w:ascii="宋体" w:hAnsi="宋体" w:eastAsia="宋体" w:cs="宋体"/>
                <w:spacing w:val="-3"/>
                <w:kern w:val="0"/>
                <w:sz w:val="24"/>
              </w:rPr>
            </w:pPr>
            <w:r>
              <w:rPr>
                <w:rFonts w:hint="eastAsia" w:ascii="宋体" w:hAnsi="宋体" w:eastAsia="宋体" w:cs="Tahoma"/>
                <w:kern w:val="0"/>
                <w:sz w:val="24"/>
                <w:szCs w:val="24"/>
              </w:rPr>
              <w:t>其他校院学生干部</w:t>
            </w:r>
          </w:p>
        </w:tc>
        <w:tc>
          <w:tcPr>
            <w:tcW w:w="1453" w:type="dxa"/>
            <w:vAlign w:val="center"/>
          </w:tcPr>
          <w:p>
            <w:pPr>
              <w:spacing w:line="360" w:lineRule="auto"/>
              <w:jc w:val="center"/>
              <w:rPr>
                <w:rFonts w:ascii="Times New Roman" w:hAnsi="Times New Roman" w:eastAsia="宋体" w:cs="Times New Roman"/>
                <w:spacing w:val="-3"/>
                <w:kern w:val="0"/>
                <w:sz w:val="24"/>
              </w:rPr>
            </w:pPr>
            <w:r>
              <w:rPr>
                <w:rFonts w:ascii="Times New Roman" w:hAnsi="Times New Roman" w:eastAsia="宋体" w:cs="Times New Roman"/>
                <w:spacing w:val="-3"/>
                <w:kern w:val="0"/>
                <w:sz w:val="24"/>
              </w:rPr>
              <w:t>1</w:t>
            </w:r>
          </w:p>
        </w:tc>
      </w:tr>
    </w:tbl>
    <w:p>
      <w:pPr>
        <w:widowControl/>
        <w:spacing w:line="360" w:lineRule="auto"/>
        <w:ind w:firstLine="480" w:firstLineChars="200"/>
        <w:jc w:val="left"/>
        <w:rPr>
          <w:rFonts w:hint="eastAsia" w:ascii="Tahoma" w:hAnsi="Tahoma" w:eastAsia="宋体" w:cs="Tahoma"/>
          <w:kern w:val="0"/>
          <w:sz w:val="24"/>
          <w:szCs w:val="24"/>
        </w:rPr>
      </w:pP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三</w:t>
      </w:r>
      <w:r>
        <w:rPr>
          <w:rFonts w:hint="eastAsia" w:ascii="Times New Roman" w:hAnsi="Times New Roman" w:eastAsia="宋体" w:cs="Times New Roman"/>
          <w:kern w:val="0"/>
          <w:sz w:val="24"/>
          <w:szCs w:val="24"/>
        </w:rPr>
        <w:t>、</w:t>
      </w:r>
      <w:r>
        <w:rPr>
          <w:rFonts w:hint="eastAsia" w:ascii="宋体" w:hAnsi="宋体" w:eastAsia="宋体" w:cs="Tahoma"/>
          <w:kern w:val="0"/>
          <w:sz w:val="24"/>
          <w:szCs w:val="24"/>
        </w:rPr>
        <w:t>科研成果（满分</w:t>
      </w:r>
      <w:r>
        <w:rPr>
          <w:rFonts w:ascii="Times New Roman" w:hAnsi="Times New Roman" w:eastAsia="宋体" w:cs="Times New Roman"/>
          <w:kern w:val="0"/>
          <w:sz w:val="24"/>
          <w:szCs w:val="24"/>
        </w:rPr>
        <w:t>80</w:t>
      </w:r>
      <w:r>
        <w:rPr>
          <w:rFonts w:hint="eastAsia" w:ascii="宋体" w:hAnsi="宋体" w:eastAsia="宋体" w:cs="Tahoma"/>
          <w:kern w:val="0"/>
          <w:sz w:val="24"/>
          <w:szCs w:val="24"/>
        </w:rPr>
        <w:t>分，按评选办法累计参评）</w:t>
      </w:r>
    </w:p>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科研成果总分</w:t>
      </w:r>
      <w:r>
        <w:rPr>
          <w:rFonts w:ascii="Times New Roman" w:hAnsi="Times New Roman" w:eastAsia="宋体" w:cs="Times New Roman"/>
          <w:kern w:val="0"/>
          <w:sz w:val="24"/>
          <w:szCs w:val="24"/>
        </w:rPr>
        <w:t>=</w:t>
      </w:r>
      <w:r>
        <w:rPr>
          <w:rFonts w:hint="eastAsia" w:ascii="宋体" w:hAnsi="宋体" w:eastAsia="宋体" w:cs="Tahoma"/>
          <w:kern w:val="0"/>
          <w:sz w:val="24"/>
          <w:szCs w:val="24"/>
        </w:rPr>
        <w:t>发表论文加分</w:t>
      </w:r>
      <w:r>
        <w:rPr>
          <w:rFonts w:ascii="Times New Roman" w:hAnsi="Times New Roman" w:eastAsia="宋体" w:cs="Times New Roman"/>
          <w:kern w:val="0"/>
          <w:sz w:val="24"/>
          <w:szCs w:val="24"/>
        </w:rPr>
        <w:t>+</w:t>
      </w:r>
      <w:r>
        <w:rPr>
          <w:rFonts w:hint="eastAsia" w:ascii="宋体" w:hAnsi="宋体" w:eastAsia="宋体" w:cs="Tahoma"/>
          <w:kern w:val="0"/>
          <w:sz w:val="24"/>
          <w:szCs w:val="24"/>
        </w:rPr>
        <w:t>科研奖励加分</w:t>
      </w:r>
      <w:r>
        <w:rPr>
          <w:rFonts w:ascii="Times New Roman" w:hAnsi="Times New Roman" w:eastAsia="宋体" w:cs="Times New Roman"/>
          <w:kern w:val="0"/>
          <w:sz w:val="24"/>
          <w:szCs w:val="24"/>
        </w:rPr>
        <w:t>+</w:t>
      </w:r>
      <w:r>
        <w:rPr>
          <w:rFonts w:hint="eastAsia" w:ascii="宋体" w:hAnsi="宋体" w:eastAsia="宋体" w:cs="Tahoma"/>
          <w:kern w:val="0"/>
          <w:sz w:val="24"/>
          <w:szCs w:val="24"/>
        </w:rPr>
        <w:t>专著加分</w:t>
      </w: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（一</w:t>
      </w:r>
      <w:r>
        <w:rPr>
          <w:rFonts w:ascii="Tahoma" w:hAnsi="Tahoma" w:eastAsia="宋体" w:cs="Tahoma"/>
          <w:kern w:val="0"/>
          <w:sz w:val="24"/>
          <w:szCs w:val="24"/>
        </w:rPr>
        <w:t>）</w:t>
      </w:r>
      <w:r>
        <w:rPr>
          <w:rFonts w:hint="eastAsia" w:ascii="宋体" w:hAnsi="宋体" w:eastAsia="宋体" w:cs="Tahoma"/>
          <w:kern w:val="0"/>
          <w:sz w:val="24"/>
          <w:szCs w:val="24"/>
        </w:rPr>
        <w:t>发表论文加分</w:t>
      </w:r>
    </w:p>
    <w:p>
      <w:pPr>
        <w:widowControl/>
        <w:spacing w:line="360" w:lineRule="auto"/>
        <w:ind w:firstLine="480" w:firstLineChars="200"/>
        <w:rPr>
          <w:rFonts w:hint="eastAsia" w:ascii="宋体" w:hAnsi="宋体" w:eastAsia="宋体" w:cs="Tahoma"/>
          <w:kern w:val="0"/>
          <w:sz w:val="24"/>
          <w:szCs w:val="24"/>
          <w:lang w:eastAsia="zh-CN"/>
        </w:rPr>
      </w:pPr>
      <w:r>
        <w:rPr>
          <w:rFonts w:hint="eastAsia" w:ascii="宋体" w:hAnsi="宋体" w:eastAsia="宋体" w:cs="Tahoma"/>
          <w:kern w:val="0"/>
          <w:sz w:val="24"/>
          <w:szCs w:val="24"/>
          <w:highlight w:val="yellow"/>
        </w:rPr>
        <w:t>加分论文范围和标准</w:t>
      </w:r>
      <w:r>
        <w:rPr>
          <w:rFonts w:hint="eastAsia" w:ascii="宋体" w:hAnsi="宋体" w:eastAsia="宋体" w:cs="Tahoma"/>
          <w:kern w:val="0"/>
          <w:sz w:val="24"/>
          <w:szCs w:val="24"/>
          <w:highlight w:val="yellow"/>
          <w:lang w:eastAsia="zh-CN"/>
        </w:rPr>
        <w:t>参考《华南农业大学学术论文评价方案（试行）》（华南农办〔2021〕27号）。</w:t>
      </w:r>
    </w:p>
    <w:p>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发表论文计分规则。研究生（排名首位的第一作者/排名最后的通讯作者/华农导师第一学生第二）的第一署名单位必须是“华南农业大学（</w:t>
      </w:r>
      <w:r>
        <w:rPr>
          <w:rFonts w:ascii="Times New Roman" w:hAnsi="Times New Roman" w:eastAsia="宋体" w:cs="Times New Roman"/>
          <w:kern w:val="0"/>
          <w:sz w:val="24"/>
          <w:szCs w:val="24"/>
        </w:rPr>
        <w:t>South China Agricultural University</w:t>
      </w:r>
      <w:r>
        <w:rPr>
          <w:rFonts w:hint="eastAsia" w:ascii="宋体" w:hAnsi="宋体" w:eastAsia="宋体" w:cs="Tahoma"/>
          <w:kern w:val="0"/>
          <w:sz w:val="24"/>
          <w:szCs w:val="24"/>
        </w:rPr>
        <w:t>）”经济管理学院及其下设研究机构。</w:t>
      </w:r>
    </w:p>
    <w:p>
      <w:pPr>
        <w:widowControl/>
        <w:spacing w:line="360" w:lineRule="auto"/>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（1）发表论文以收到纸质刊物为准，须将杂志封面、目录和论文全文的复印件材料附于申请表后，未出版的稿件不纳入本次评选范畴；</w:t>
      </w:r>
      <w:r>
        <w:rPr>
          <w:rFonts w:ascii="Times New Roman" w:hAnsi="Times New Roman" w:eastAsia="宋体" w:cs="Times New Roman"/>
          <w:kern w:val="0"/>
          <w:sz w:val="24"/>
          <w:szCs w:val="24"/>
        </w:rPr>
        <w:t>SSCI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SCI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EI</w:t>
      </w:r>
      <w:r>
        <w:rPr>
          <w:rFonts w:hint="eastAsia" w:ascii="宋体" w:hAnsi="宋体" w:eastAsia="宋体" w:cs="Tahoma"/>
          <w:kern w:val="0"/>
          <w:sz w:val="24"/>
          <w:szCs w:val="24"/>
        </w:rPr>
        <w:t>收录的论文以图书馆提供的检索证明为准。</w:t>
      </w:r>
    </w:p>
    <w:p>
      <w:pPr>
        <w:widowControl/>
        <w:spacing w:line="360" w:lineRule="auto"/>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2）只有本人为第一作者，或者本人为通讯作者，或者导师作为第一作者、本人作为第二作者的论文才能申请加分，同一篇论文只允许一人申报加分，申报加分顺序为：①本人为论文第一作者；②本人为论文通讯作者；③导师为论文第一作者、本人为论文第二作者（如果在此情形下论文通讯作者为华南农业大学研究生，则此论文必须出具导师和通讯作者的同意函，并且此论文在此奖项评定中只能计算一次）。</w:t>
      </w:r>
    </w:p>
    <w:p>
      <w:pPr>
        <w:widowControl/>
        <w:spacing w:line="360" w:lineRule="auto"/>
        <w:ind w:firstLine="480" w:firstLineChars="200"/>
        <w:jc w:val="left"/>
        <w:rPr>
          <w:rFonts w:ascii="宋体" w:hAnsi="宋体" w:eastAsia="宋体" w:cs="Tahoma"/>
          <w:kern w:val="0"/>
          <w:sz w:val="24"/>
          <w:szCs w:val="24"/>
          <w:highlight w:val="yellow"/>
        </w:rPr>
      </w:pPr>
      <w:r>
        <w:rPr>
          <w:rFonts w:hint="eastAsia" w:ascii="宋体" w:hAnsi="宋体" w:eastAsia="宋体" w:cs="Tahoma"/>
          <w:kern w:val="0"/>
          <w:sz w:val="24"/>
          <w:szCs w:val="24"/>
          <w:highlight w:val="yellow"/>
        </w:rPr>
        <w:t>计分规则如下：</w:t>
      </w:r>
    </w:p>
    <w:p>
      <w:pPr>
        <w:pStyle w:val="14"/>
        <w:tabs>
          <w:tab w:val="left" w:pos="1107"/>
        </w:tabs>
        <w:spacing w:line="360" w:lineRule="auto"/>
        <w:ind w:firstLine="580"/>
        <w:jc w:val="both"/>
        <w:rPr>
          <w:highlight w:val="yellow"/>
        </w:rPr>
      </w:pPr>
      <w:bookmarkStart w:id="0" w:name="bookmark114"/>
      <w:r>
        <w:rPr>
          <w:sz w:val="24"/>
          <w:szCs w:val="24"/>
          <w:highlight w:val="yellow"/>
        </w:rPr>
        <w:t>（</w:t>
      </w:r>
      <w:bookmarkEnd w:id="0"/>
      <w:r>
        <w:rPr>
          <w:sz w:val="24"/>
          <w:szCs w:val="24"/>
          <w:highlight w:val="yellow"/>
        </w:rPr>
        <w:t>1）</w:t>
      </w:r>
      <w:r>
        <w:rPr>
          <w:highlight w:val="yellow"/>
        </w:rPr>
        <w:t>发表</w:t>
      </w:r>
      <w:r>
        <w:rPr>
          <w:sz w:val="24"/>
          <w:szCs w:val="24"/>
          <w:highlight w:val="yellow"/>
          <w:lang w:val="en-US" w:eastAsia="zh-CN" w:bidi="en-US"/>
        </w:rPr>
        <w:t>T</w:t>
      </w:r>
      <w:r>
        <w:rPr>
          <w:rFonts w:hint="eastAsia"/>
          <w:sz w:val="24"/>
          <w:szCs w:val="24"/>
          <w:highlight w:val="yellow"/>
          <w:lang w:val="en-US" w:eastAsia="zh-CN" w:bidi="en-US"/>
        </w:rPr>
        <w:t>1</w:t>
      </w:r>
      <w:r>
        <w:rPr>
          <w:highlight w:val="yellow"/>
        </w:rPr>
        <w:t>类目录内的期刊论文，第一作者或者通讯作者加</w:t>
      </w:r>
      <w:r>
        <w:rPr>
          <w:rFonts w:hint="eastAsia"/>
          <w:highlight w:val="yellow"/>
          <w:lang w:val="en-US" w:eastAsia="zh-CN"/>
        </w:rPr>
        <w:t>50</w:t>
      </w:r>
      <w:r>
        <w:rPr>
          <w:highlight w:val="yellow"/>
        </w:rPr>
        <w:t>分，第二作者加</w:t>
      </w:r>
      <w:r>
        <w:rPr>
          <w:sz w:val="24"/>
          <w:szCs w:val="24"/>
          <w:highlight w:val="yellow"/>
          <w:lang w:val="en-US" w:eastAsia="zh-CN" w:bidi="en-US"/>
        </w:rPr>
        <w:t>2</w:t>
      </w:r>
      <w:r>
        <w:rPr>
          <w:sz w:val="24"/>
          <w:szCs w:val="24"/>
          <w:highlight w:val="yellow"/>
        </w:rPr>
        <w:t>5</w:t>
      </w:r>
      <w:r>
        <w:rPr>
          <w:highlight w:val="yellow"/>
        </w:rPr>
        <w:t>分，其他排序作者不加分；</w:t>
      </w:r>
    </w:p>
    <w:p>
      <w:pPr>
        <w:pStyle w:val="14"/>
        <w:tabs>
          <w:tab w:val="left" w:pos="1114"/>
        </w:tabs>
        <w:spacing w:line="360" w:lineRule="auto"/>
        <w:ind w:firstLine="580"/>
        <w:jc w:val="both"/>
        <w:rPr>
          <w:highlight w:val="yellow"/>
        </w:rPr>
      </w:pPr>
      <w:bookmarkStart w:id="1" w:name="bookmark115"/>
      <w:r>
        <w:rPr>
          <w:sz w:val="24"/>
          <w:szCs w:val="24"/>
          <w:highlight w:val="yellow"/>
        </w:rPr>
        <w:t>（</w:t>
      </w:r>
      <w:bookmarkEnd w:id="1"/>
      <w:r>
        <w:rPr>
          <w:sz w:val="24"/>
          <w:szCs w:val="24"/>
          <w:highlight w:val="yellow"/>
        </w:rPr>
        <w:t>2）</w:t>
      </w:r>
      <w:r>
        <w:rPr>
          <w:highlight w:val="yellow"/>
        </w:rPr>
        <w:t>发表</w:t>
      </w:r>
      <w:r>
        <w:rPr>
          <w:rFonts w:hint="eastAsia"/>
          <w:highlight w:val="yellow"/>
          <w:lang w:val="en-US" w:eastAsia="zh-CN"/>
        </w:rPr>
        <w:t>T2</w:t>
      </w:r>
      <w:r>
        <w:rPr>
          <w:highlight w:val="yellow"/>
        </w:rPr>
        <w:t>类目录内的期刊论文，第一作者或者通讯作者加</w:t>
      </w:r>
      <w:r>
        <w:rPr>
          <w:rFonts w:hint="eastAsia"/>
          <w:highlight w:val="yellow"/>
          <w:lang w:val="en-US" w:eastAsia="zh-CN"/>
        </w:rPr>
        <w:t>45</w:t>
      </w:r>
      <w:r>
        <w:rPr>
          <w:highlight w:val="yellow"/>
        </w:rPr>
        <w:t>分，第二作者加</w:t>
      </w:r>
      <w:r>
        <w:rPr>
          <w:rFonts w:hint="eastAsia"/>
          <w:highlight w:val="yellow"/>
          <w:lang w:val="en-US" w:eastAsia="zh-CN"/>
        </w:rPr>
        <w:t>22.5</w:t>
      </w:r>
      <w:r>
        <w:rPr>
          <w:highlight w:val="yellow"/>
        </w:rPr>
        <w:t>分，其他排序作者不加分；</w:t>
      </w:r>
    </w:p>
    <w:p>
      <w:pPr>
        <w:pStyle w:val="14"/>
        <w:tabs>
          <w:tab w:val="left" w:pos="1107"/>
        </w:tabs>
        <w:spacing w:line="360" w:lineRule="auto"/>
        <w:ind w:firstLine="580"/>
        <w:jc w:val="both"/>
        <w:rPr>
          <w:highlight w:val="yellow"/>
        </w:rPr>
      </w:pPr>
      <w:bookmarkStart w:id="2" w:name="bookmark116"/>
      <w:r>
        <w:rPr>
          <w:sz w:val="24"/>
          <w:szCs w:val="24"/>
          <w:highlight w:val="yellow"/>
        </w:rPr>
        <w:t>（</w:t>
      </w:r>
      <w:bookmarkEnd w:id="2"/>
      <w:r>
        <w:rPr>
          <w:sz w:val="24"/>
          <w:szCs w:val="24"/>
          <w:highlight w:val="yellow"/>
        </w:rPr>
        <w:t>3）</w:t>
      </w:r>
      <w:r>
        <w:rPr>
          <w:highlight w:val="yellow"/>
        </w:rPr>
        <w:t>发表</w:t>
      </w:r>
      <w:r>
        <w:rPr>
          <w:rFonts w:hint="eastAsia"/>
          <w:highlight w:val="yellow"/>
          <w:lang w:val="en-US" w:eastAsia="zh-CN"/>
        </w:rPr>
        <w:t>A</w:t>
      </w:r>
      <w:r>
        <w:rPr>
          <w:highlight w:val="yellow"/>
        </w:rPr>
        <w:t>类目录内的期刊论文，第一作者或者通讯作者加</w:t>
      </w:r>
      <w:r>
        <w:rPr>
          <w:rFonts w:hint="eastAsia"/>
          <w:highlight w:val="yellow"/>
          <w:lang w:val="en-US" w:eastAsia="zh-CN"/>
        </w:rPr>
        <w:t>2</w:t>
      </w:r>
      <w:r>
        <w:rPr>
          <w:rFonts w:hint="eastAsia"/>
          <w:sz w:val="24"/>
          <w:szCs w:val="24"/>
          <w:highlight w:val="yellow"/>
          <w:lang w:val="en-US" w:eastAsia="zh-CN"/>
        </w:rPr>
        <w:t>5</w:t>
      </w:r>
      <w:r>
        <w:rPr>
          <w:highlight w:val="yellow"/>
        </w:rPr>
        <w:t xml:space="preserve">分，第二作者加 </w:t>
      </w:r>
      <w:r>
        <w:rPr>
          <w:rFonts w:hint="eastAsia"/>
          <w:highlight w:val="yellow"/>
          <w:lang w:val="en-US" w:eastAsia="zh-CN"/>
        </w:rPr>
        <w:t>12.5</w:t>
      </w:r>
      <w:r>
        <w:rPr>
          <w:highlight w:val="yellow"/>
        </w:rPr>
        <w:t>分，其他排序作者不加分；</w:t>
      </w:r>
    </w:p>
    <w:p>
      <w:pPr>
        <w:pStyle w:val="14"/>
        <w:tabs>
          <w:tab w:val="left" w:pos="524"/>
        </w:tabs>
        <w:spacing w:after="100" w:line="360" w:lineRule="auto"/>
        <w:ind w:firstLine="580"/>
        <w:jc w:val="both"/>
        <w:rPr>
          <w:rFonts w:hint="eastAsia" w:eastAsia="宋体"/>
          <w:highlight w:val="yellow"/>
          <w:lang w:eastAsia="zh-CN"/>
        </w:rPr>
      </w:pPr>
      <w:bookmarkStart w:id="3" w:name="bookmark117"/>
      <w:r>
        <w:rPr>
          <w:sz w:val="24"/>
          <w:szCs w:val="24"/>
          <w:highlight w:val="yellow"/>
        </w:rPr>
        <w:t>（</w:t>
      </w:r>
      <w:bookmarkEnd w:id="3"/>
      <w:r>
        <w:rPr>
          <w:sz w:val="24"/>
          <w:szCs w:val="24"/>
          <w:highlight w:val="yellow"/>
        </w:rPr>
        <w:t>4）</w:t>
      </w:r>
      <w:r>
        <w:rPr>
          <w:highlight w:val="yellow"/>
        </w:rPr>
        <w:t>发表</w:t>
      </w:r>
      <w:r>
        <w:rPr>
          <w:rFonts w:hint="eastAsia"/>
          <w:highlight w:val="yellow"/>
          <w:lang w:val="en-US" w:eastAsia="zh-CN"/>
        </w:rPr>
        <w:t>B</w:t>
      </w:r>
      <w:r>
        <w:rPr>
          <w:highlight w:val="yellow"/>
        </w:rPr>
        <w:t>类目录内的期刊论文，第一作者或者通讯作者加</w:t>
      </w:r>
      <w:r>
        <w:rPr>
          <w:rFonts w:hint="eastAsia"/>
          <w:highlight w:val="yellow"/>
          <w:lang w:val="en-US" w:eastAsia="zh-CN"/>
        </w:rPr>
        <w:t>15</w:t>
      </w:r>
      <w:r>
        <w:rPr>
          <w:highlight w:val="yellow"/>
        </w:rPr>
        <w:t>分，第二作者加</w:t>
      </w:r>
      <w:r>
        <w:rPr>
          <w:rFonts w:hint="eastAsia"/>
          <w:highlight w:val="yellow"/>
          <w:lang w:val="en-US" w:eastAsia="zh-CN"/>
        </w:rPr>
        <w:t>7.5</w:t>
      </w:r>
      <w:r>
        <w:rPr>
          <w:highlight w:val="yellow"/>
        </w:rPr>
        <w:t>分，其他排序作者不加分</w:t>
      </w:r>
      <w:r>
        <w:rPr>
          <w:rFonts w:hint="eastAsia"/>
          <w:highlight w:val="yellow"/>
          <w:lang w:eastAsia="zh-CN"/>
        </w:rPr>
        <w:t>；</w:t>
      </w:r>
    </w:p>
    <w:p>
      <w:pPr>
        <w:pStyle w:val="14"/>
        <w:tabs>
          <w:tab w:val="left" w:pos="524"/>
        </w:tabs>
        <w:spacing w:after="100" w:line="360" w:lineRule="auto"/>
        <w:ind w:firstLine="580"/>
        <w:jc w:val="both"/>
        <w:rPr>
          <w:rFonts w:hint="eastAsia"/>
          <w:highlight w:val="yellow"/>
          <w:lang w:eastAsia="zh-CN"/>
        </w:rPr>
      </w:pPr>
      <w:r>
        <w:rPr>
          <w:sz w:val="24"/>
          <w:szCs w:val="24"/>
          <w:highlight w:val="yellow"/>
        </w:rPr>
        <w:t>（</w:t>
      </w:r>
      <w:r>
        <w:rPr>
          <w:rFonts w:hint="eastAsia"/>
          <w:sz w:val="24"/>
          <w:szCs w:val="24"/>
          <w:highlight w:val="yellow"/>
          <w:lang w:val="en-US" w:eastAsia="zh-CN"/>
        </w:rPr>
        <w:t>5</w:t>
      </w:r>
      <w:r>
        <w:rPr>
          <w:sz w:val="24"/>
          <w:szCs w:val="24"/>
          <w:highlight w:val="yellow"/>
        </w:rPr>
        <w:t>）</w:t>
      </w:r>
      <w:r>
        <w:rPr>
          <w:highlight w:val="yellow"/>
        </w:rPr>
        <w:t>发表</w:t>
      </w:r>
      <w:r>
        <w:rPr>
          <w:rFonts w:hint="eastAsia"/>
          <w:highlight w:val="yellow"/>
          <w:lang w:val="en-US" w:eastAsia="zh-CN"/>
        </w:rPr>
        <w:t>C</w:t>
      </w:r>
      <w:r>
        <w:rPr>
          <w:highlight w:val="yellow"/>
        </w:rPr>
        <w:t>类目录内的期刊论文，第一作者或者通讯作者加</w:t>
      </w:r>
      <w:r>
        <w:rPr>
          <w:rFonts w:hint="eastAsia"/>
          <w:highlight w:val="yellow"/>
          <w:lang w:val="en-US" w:eastAsia="zh-CN"/>
        </w:rPr>
        <w:t>6</w:t>
      </w:r>
      <w:r>
        <w:rPr>
          <w:highlight w:val="yellow"/>
        </w:rPr>
        <w:t>分，第二作者加</w:t>
      </w:r>
      <w:r>
        <w:rPr>
          <w:rFonts w:hint="eastAsia"/>
          <w:highlight w:val="yellow"/>
          <w:lang w:val="en-US" w:eastAsia="zh-CN"/>
        </w:rPr>
        <w:t>3</w:t>
      </w:r>
      <w:r>
        <w:rPr>
          <w:highlight w:val="yellow"/>
        </w:rPr>
        <w:t>分，其他排序作者不加分</w:t>
      </w:r>
      <w:r>
        <w:rPr>
          <w:rFonts w:hint="eastAsia"/>
          <w:highlight w:val="yellow"/>
          <w:lang w:eastAsia="zh-CN"/>
        </w:rPr>
        <w:t>；</w:t>
      </w:r>
    </w:p>
    <w:p>
      <w:pPr>
        <w:pStyle w:val="14"/>
        <w:keepNext w:val="0"/>
        <w:keepLines w:val="0"/>
        <w:pageBreakBefore w:val="0"/>
        <w:widowControl w:val="0"/>
        <w:tabs>
          <w:tab w:val="left" w:pos="1247"/>
        </w:tabs>
        <w:kinsoku/>
        <w:wordWrap/>
        <w:overflowPunct/>
        <w:topLinePunct w:val="0"/>
        <w:autoSpaceDE/>
        <w:autoSpaceDN/>
        <w:bidi w:val="0"/>
        <w:adjustRightInd/>
        <w:snapToGrid/>
        <w:spacing w:line="360" w:lineRule="auto"/>
        <w:ind w:left="0" w:firstLine="578"/>
        <w:textAlignment w:val="auto"/>
        <w:rPr>
          <w:highlight w:val="yellow"/>
        </w:rPr>
      </w:pPr>
      <w:r>
        <w:rPr>
          <w:sz w:val="24"/>
          <w:szCs w:val="24"/>
          <w:highlight w:val="yellow"/>
          <w:lang w:val="zh-CN" w:eastAsia="zh-CN"/>
        </w:rPr>
        <w:t>（</w:t>
      </w:r>
      <w:r>
        <w:rPr>
          <w:rFonts w:hint="eastAsia"/>
          <w:sz w:val="24"/>
          <w:szCs w:val="24"/>
          <w:highlight w:val="yellow"/>
          <w:lang w:val="en-US" w:eastAsia="zh-CN"/>
        </w:rPr>
        <w:t>6</w:t>
      </w:r>
      <w:r>
        <w:rPr>
          <w:sz w:val="24"/>
          <w:szCs w:val="24"/>
          <w:highlight w:val="yellow"/>
          <w:lang w:val="zh-CN" w:eastAsia="zh-CN"/>
        </w:rPr>
        <w:t>）</w:t>
      </w:r>
      <w:r>
        <w:rPr>
          <w:sz w:val="24"/>
          <w:szCs w:val="24"/>
          <w:highlight w:val="yellow"/>
        </w:rPr>
        <w:t>发表不在上述目录内的期刊论文，第一作者或者通讯作者加2分，第二作者加1</w:t>
      </w:r>
      <w:r>
        <w:rPr>
          <w:highlight w:val="yellow"/>
        </w:rPr>
        <w:t>分，其他排序作者不加分；</w:t>
      </w:r>
    </w:p>
    <w:p>
      <w:pPr>
        <w:pStyle w:val="14"/>
        <w:keepNext w:val="0"/>
        <w:keepLines w:val="0"/>
        <w:pageBreakBefore w:val="0"/>
        <w:widowControl w:val="0"/>
        <w:tabs>
          <w:tab w:val="left" w:pos="1247"/>
        </w:tabs>
        <w:kinsoku/>
        <w:wordWrap/>
        <w:overflowPunct/>
        <w:topLinePunct w:val="0"/>
        <w:autoSpaceDE/>
        <w:autoSpaceDN/>
        <w:bidi w:val="0"/>
        <w:adjustRightInd/>
        <w:snapToGrid/>
        <w:spacing w:line="360" w:lineRule="auto"/>
        <w:ind w:left="0" w:firstLine="578"/>
        <w:textAlignment w:val="auto"/>
        <w:rPr>
          <w:sz w:val="24"/>
          <w:szCs w:val="24"/>
          <w:highlight w:val="yellow"/>
        </w:rPr>
      </w:pPr>
      <w:bookmarkStart w:id="4" w:name="bookmark119"/>
      <w:r>
        <w:rPr>
          <w:sz w:val="24"/>
          <w:szCs w:val="24"/>
          <w:highlight w:val="yellow"/>
        </w:rPr>
        <w:t>（</w:t>
      </w:r>
      <w:bookmarkEnd w:id="4"/>
      <w:r>
        <w:rPr>
          <w:rFonts w:hint="eastAsia"/>
          <w:sz w:val="24"/>
          <w:szCs w:val="24"/>
          <w:highlight w:val="yellow"/>
          <w:lang w:val="en-US" w:eastAsia="zh-CN"/>
        </w:rPr>
        <w:t>7</w:t>
      </w:r>
      <w:r>
        <w:rPr>
          <w:sz w:val="24"/>
          <w:szCs w:val="24"/>
          <w:highlight w:val="yellow"/>
        </w:rPr>
        <w:t>）</w:t>
      </w:r>
      <w:r>
        <w:rPr>
          <w:highlight w:val="yellow"/>
        </w:rPr>
        <w:t>中文核心期刊以北京大学出版社《中文核心期刊要目总览》（最新版）为 准，</w:t>
      </w:r>
      <w:r>
        <w:rPr>
          <w:sz w:val="24"/>
          <w:szCs w:val="24"/>
          <w:highlight w:val="yellow"/>
          <w:lang w:val="en-US" w:eastAsia="zh-CN" w:bidi="en-US"/>
        </w:rPr>
        <w:t>CSSCI</w:t>
      </w:r>
      <w:r>
        <w:rPr>
          <w:highlight w:val="yellow"/>
        </w:rPr>
        <w:t>期刊以中文社会科学引文索引</w:t>
      </w:r>
      <w:r>
        <w:rPr>
          <w:sz w:val="24"/>
          <w:szCs w:val="24"/>
          <w:highlight w:val="yellow"/>
          <w:lang w:val="en-US" w:eastAsia="zh-CN" w:bidi="en-US"/>
        </w:rPr>
        <w:t>（CSSCI</w:t>
      </w:r>
      <w:r>
        <w:rPr>
          <w:highlight w:val="yellow"/>
        </w:rPr>
        <w:t>最新版）来源期刊为准。被</w:t>
      </w:r>
      <w:r>
        <w:rPr>
          <w:sz w:val="24"/>
          <w:szCs w:val="24"/>
          <w:highlight w:val="yellow"/>
          <w:lang w:val="en-US" w:bidi="en-US"/>
        </w:rPr>
        <w:t>SSCI</w:t>
      </w:r>
      <w:r>
        <w:rPr>
          <w:highlight w:val="yellow"/>
        </w:rPr>
        <w:t>收录期刊査询请参照</w:t>
      </w:r>
      <w:r>
        <w:rPr>
          <w:highlight w:val="yellow"/>
        </w:rPr>
        <w:fldChar w:fldCharType="begin"/>
      </w:r>
      <w:r>
        <w:rPr>
          <w:highlight w:val="yellow"/>
        </w:rPr>
        <w:instrText xml:space="preserve">HYPERLINK "http://mjl"</w:instrText>
      </w:r>
      <w:r>
        <w:rPr>
          <w:highlight w:val="yellow"/>
        </w:rPr>
        <w:fldChar w:fldCharType="separate"/>
      </w:r>
      <w:r>
        <w:rPr>
          <w:sz w:val="24"/>
          <w:szCs w:val="24"/>
          <w:highlight w:val="yellow"/>
          <w:lang w:val="en-US" w:bidi="en-US"/>
        </w:rPr>
        <w:t>http://mjl</w:t>
      </w:r>
      <w:r>
        <w:rPr>
          <w:highlight w:val="yellow"/>
        </w:rPr>
        <w:fldChar w:fldCharType="end"/>
      </w:r>
      <w:r>
        <w:rPr>
          <w:sz w:val="24"/>
          <w:szCs w:val="24"/>
          <w:highlight w:val="yellow"/>
          <w:lang w:val="en-US" w:bidi="en-US"/>
        </w:rPr>
        <w:t>.clarivate.com/；</w:t>
      </w:r>
    </w:p>
    <w:p>
      <w:pPr>
        <w:pStyle w:val="14"/>
        <w:keepNext w:val="0"/>
        <w:keepLines w:val="0"/>
        <w:pageBreakBefore w:val="0"/>
        <w:widowControl w:val="0"/>
        <w:tabs>
          <w:tab w:val="left" w:pos="1244"/>
        </w:tabs>
        <w:kinsoku/>
        <w:wordWrap/>
        <w:overflowPunct/>
        <w:topLinePunct w:val="0"/>
        <w:autoSpaceDE/>
        <w:autoSpaceDN/>
        <w:bidi w:val="0"/>
        <w:adjustRightInd/>
        <w:snapToGrid/>
        <w:spacing w:line="360" w:lineRule="auto"/>
        <w:ind w:firstLine="578"/>
        <w:textAlignment w:val="auto"/>
      </w:pPr>
      <w:bookmarkStart w:id="5" w:name="bookmark120"/>
      <w:r>
        <w:rPr>
          <w:sz w:val="24"/>
          <w:szCs w:val="24"/>
        </w:rPr>
        <w:t>（</w:t>
      </w:r>
      <w:bookmarkEnd w:id="5"/>
      <w:r>
        <w:rPr>
          <w:rFonts w:hint="eastAsia"/>
          <w:sz w:val="24"/>
          <w:szCs w:val="24"/>
          <w:lang w:val="en-US" w:eastAsia="zh-CN"/>
        </w:rPr>
        <w:t>8</w:t>
      </w:r>
      <w:r>
        <w:rPr>
          <w:sz w:val="24"/>
          <w:szCs w:val="24"/>
        </w:rPr>
        <w:t>）</w:t>
      </w:r>
      <w:r>
        <w:t>导师计入论文排名。</w:t>
      </w:r>
    </w:p>
    <w:p>
      <w:pPr>
        <w:pStyle w:val="14"/>
        <w:keepNext w:val="0"/>
        <w:keepLines w:val="0"/>
        <w:pageBreakBefore w:val="0"/>
        <w:widowControl w:val="0"/>
        <w:tabs>
          <w:tab w:val="left" w:pos="1244"/>
        </w:tabs>
        <w:kinsoku/>
        <w:wordWrap/>
        <w:overflowPunct/>
        <w:topLinePunct w:val="0"/>
        <w:autoSpaceDE/>
        <w:autoSpaceDN/>
        <w:bidi w:val="0"/>
        <w:adjustRightInd/>
        <w:snapToGrid/>
        <w:spacing w:after="420" w:line="360" w:lineRule="auto"/>
        <w:ind w:firstLine="578"/>
        <w:textAlignment w:val="auto"/>
      </w:pPr>
      <w:bookmarkStart w:id="6" w:name="bookmark121"/>
      <w:r>
        <w:rPr>
          <w:sz w:val="24"/>
          <w:szCs w:val="24"/>
        </w:rPr>
        <w:t>（</w:t>
      </w:r>
      <w:bookmarkEnd w:id="6"/>
      <w:r>
        <w:rPr>
          <w:rFonts w:hint="eastAsia"/>
          <w:sz w:val="24"/>
          <w:szCs w:val="24"/>
          <w:lang w:val="en-US" w:eastAsia="zh-CN"/>
        </w:rPr>
        <w:t>9</w:t>
      </w:r>
      <w:r>
        <w:rPr>
          <w:sz w:val="24"/>
          <w:szCs w:val="24"/>
        </w:rPr>
        <w:t>）</w:t>
      </w:r>
      <w:r>
        <w:t>在某一期刊的扩展版、增刊发表的论文不予计算。</w:t>
      </w:r>
    </w:p>
    <w:p>
      <w:pPr>
        <w:bidi w:val="0"/>
        <w:rPr>
          <w:rFonts w:hint="eastAsia"/>
          <w:lang w:eastAsia="zh-CN"/>
        </w:rPr>
      </w:pPr>
    </w:p>
    <w:p>
      <w:pPr>
        <w:tabs>
          <w:tab w:val="left" w:pos="350"/>
        </w:tabs>
        <w:bidi w:val="0"/>
        <w:jc w:val="left"/>
        <w:rPr>
          <w:rFonts w:hint="default"/>
          <w:lang w:val="en-US" w:eastAsia="zh-CN"/>
        </w:rPr>
        <w:sectPr>
          <w:footerReference r:id="rId3" w:type="default"/>
          <w:pgSz w:w="11900" w:h="16840"/>
          <w:pgMar w:top="1314" w:right="1444" w:bottom="1567" w:left="1420" w:header="886" w:footer="3" w:gutter="0"/>
          <w:cols w:space="720" w:num="1"/>
          <w:docGrid w:linePitch="360" w:charSpace="0"/>
        </w:sectPr>
      </w:pPr>
      <w:r>
        <w:rPr>
          <w:rFonts w:hint="eastAsia"/>
          <w:lang w:val="en-US" w:eastAsia="zh-CN"/>
        </w:rPr>
        <w:t xml:space="preserve"> </w:t>
      </w:r>
    </w:p>
    <w:p>
      <w:pPr>
        <w:widowControl/>
        <w:spacing w:line="360" w:lineRule="auto"/>
        <w:jc w:val="left"/>
        <w:rPr>
          <w:rFonts w:ascii="宋体" w:hAnsi="宋体" w:eastAsia="宋体" w:cs="Tahoma"/>
          <w:kern w:val="0"/>
          <w:sz w:val="24"/>
          <w:szCs w:val="24"/>
        </w:rPr>
      </w:pPr>
      <w:r>
        <w:rPr>
          <w:rFonts w:hint="eastAsia" w:ascii="Tahoma" w:hAnsi="Tahoma" w:eastAsia="宋体" w:cs="Tahoma"/>
          <w:kern w:val="0"/>
          <w:sz w:val="24"/>
          <w:szCs w:val="24"/>
        </w:rPr>
        <w:t>（二）</w:t>
      </w:r>
      <w:r>
        <w:rPr>
          <w:rFonts w:hint="eastAsia" w:ascii="宋体" w:hAnsi="宋体" w:eastAsia="宋体" w:cs="Tahoma"/>
          <w:kern w:val="0"/>
          <w:sz w:val="24"/>
          <w:szCs w:val="24"/>
        </w:rPr>
        <w:t>科研奖励加分</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1、以华南农业大学为第一署名单位获得科研奖励者，按照科研奖励加分标准，排名前3名计相应分值的100%，排名第4、5名计50%，其他排名计10%。</w:t>
      </w:r>
    </w:p>
    <w:p>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国家级科研成果奖项包括：国家最高科学技术奖、国家自然科学奖、国家技术发明奖、国家科学技术进步奖、国家社会科学基金项目结题优秀奖、国家自然科学基金项目结题优秀奖、国家级教学成果奖。孙冶方经济学奖视同国家级一等奖。</w:t>
      </w:r>
    </w:p>
    <w:p>
      <w:pPr>
        <w:widowControl/>
        <w:spacing w:line="360" w:lineRule="auto"/>
        <w:ind w:firstLine="480" w:firstLineChars="200"/>
        <w:jc w:val="left"/>
        <w:rPr>
          <w:rFonts w:ascii="Tahoma" w:hAnsi="Tahoma" w:eastAsia="宋体" w:cs="Tahoma"/>
          <w:kern w:val="0"/>
          <w:sz w:val="24"/>
          <w:szCs w:val="24"/>
        </w:rPr>
      </w:pPr>
      <w:r>
        <w:rPr>
          <w:rFonts w:ascii="Times New Roman" w:hAnsi="Times New Roman" w:eastAsia="宋体" w:cs="Times New Roman"/>
          <w:kern w:val="0"/>
          <w:sz w:val="24"/>
          <w:szCs w:val="24"/>
        </w:rPr>
        <w:t>3、省部级科研成果奖项包括：教育部高校人文社会科学奖、省政府科学技术奖励、省哲学</w:t>
      </w:r>
      <w:r>
        <w:rPr>
          <w:rFonts w:hint="eastAsia" w:ascii="宋体" w:hAnsi="宋体" w:eastAsia="宋体" w:cs="Tahoma"/>
          <w:kern w:val="0"/>
          <w:sz w:val="24"/>
          <w:szCs w:val="24"/>
        </w:rPr>
        <w:t>社会科学优秀成果奖、省教学成果奖、农业部农牧渔业丰收奖、省农业技术推广奖、全国教育科学优秀成果奖、全国青年社会科学成果优秀奖、中宣部</w:t>
      </w:r>
      <w:r>
        <w:rPr>
          <w:rFonts w:cs="Times New Roman" w:asciiTheme="minorEastAsia" w:hAnsiTheme="minorEastAsia"/>
          <w:kern w:val="0"/>
          <w:sz w:val="24"/>
          <w:szCs w:val="24"/>
        </w:rPr>
        <w:t>“</w:t>
      </w:r>
      <w:r>
        <w:rPr>
          <w:rFonts w:hint="eastAsia" w:ascii="宋体" w:hAnsi="宋体" w:eastAsia="宋体" w:cs="Tahoma"/>
          <w:kern w:val="0"/>
          <w:sz w:val="24"/>
          <w:szCs w:val="24"/>
        </w:rPr>
        <w:t>五个一工程</w:t>
      </w:r>
      <w:r>
        <w:rPr>
          <w:rFonts w:cs="Times New Roman" w:asciiTheme="minorEastAsia" w:hAnsiTheme="minorEastAsia"/>
          <w:kern w:val="0"/>
          <w:sz w:val="24"/>
          <w:szCs w:val="24"/>
        </w:rPr>
        <w:t>”</w:t>
      </w:r>
      <w:r>
        <w:rPr>
          <w:rFonts w:hint="eastAsia" w:ascii="宋体" w:hAnsi="宋体" w:eastAsia="宋体" w:cs="Tahoma"/>
          <w:kern w:val="0"/>
          <w:sz w:val="24"/>
          <w:szCs w:val="24"/>
        </w:rPr>
        <w:t>奖、安子介国际贸易研究奖、中国农村发展研究奖（著作奖视同一等奖、论文奖视同二等奖）。</w:t>
      </w: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4、</w:t>
      </w:r>
      <w:r>
        <w:rPr>
          <w:rFonts w:hint="eastAsia" w:ascii="宋体" w:hAnsi="宋体" w:eastAsia="宋体" w:cs="Tahoma"/>
          <w:kern w:val="0"/>
          <w:sz w:val="24"/>
          <w:szCs w:val="24"/>
        </w:rPr>
        <w:t>科研奖励具体加分项如下表所示：</w:t>
      </w:r>
    </w:p>
    <w:tbl>
      <w:tblPr>
        <w:tblStyle w:val="12"/>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8"/>
        <w:gridCol w:w="2105"/>
        <w:gridCol w:w="1890"/>
        <w:gridCol w:w="1890"/>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科研奖励级别</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一等奖</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二等奖</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三等奖</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国家级</w:t>
            </w:r>
          </w:p>
        </w:tc>
        <w:tc>
          <w:tcPr>
            <w:tcW w:w="1191"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省部级</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厅局级</w:t>
            </w:r>
          </w:p>
        </w:tc>
        <w:tc>
          <w:tcPr>
            <w:tcW w:w="1191"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left w:val="single" w:color="7E7E7E" w:themeColor="text1" w:themeTint="80" w:sz="4" w:space="0"/>
              <w:right w:val="single" w:color="7E7E7E" w:themeColor="text1" w:themeTint="80"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其他</w:t>
            </w:r>
          </w:p>
        </w:tc>
        <w:tc>
          <w:tcPr>
            <w:tcW w:w="1191"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c>
          <w:tcPr>
            <w:tcW w:w="1070" w:type="pct"/>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vAlign w:val="center"/>
          </w:tcPr>
          <w:p>
            <w:pPr>
              <w:widowControl/>
              <w:spacing w:before="100" w:beforeAutospacing="1" w:after="100" w:afterAutospacing="1"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w:t>
            </w:r>
          </w:p>
        </w:tc>
      </w:tr>
    </w:tbl>
    <w:p>
      <w:pPr>
        <w:widowControl/>
        <w:spacing w:line="360" w:lineRule="auto"/>
        <w:ind w:firstLine="480" w:firstLineChars="200"/>
        <w:jc w:val="left"/>
        <w:rPr>
          <w:rFonts w:ascii="Tahoma" w:hAnsi="Tahoma" w:eastAsia="宋体" w:cs="Tahoma"/>
          <w:kern w:val="0"/>
          <w:sz w:val="24"/>
          <w:szCs w:val="24"/>
        </w:rPr>
      </w:pPr>
      <w:r>
        <w:rPr>
          <w:rFonts w:ascii="Tahoma" w:hAnsi="Tahoma" w:eastAsia="宋体" w:cs="Tahoma"/>
          <w:kern w:val="0"/>
          <w:sz w:val="24"/>
          <w:szCs w:val="24"/>
        </w:rPr>
        <w:t>说明：成果重复获奖的，按最高奖励级别计算。</w:t>
      </w:r>
    </w:p>
    <w:p>
      <w:pPr>
        <w:widowControl/>
        <w:spacing w:line="360" w:lineRule="auto"/>
        <w:ind w:firstLine="480" w:firstLineChars="200"/>
        <w:jc w:val="left"/>
        <w:rPr>
          <w:rFonts w:hint="eastAsia" w:ascii="Tahoma" w:hAnsi="Tahoma" w:eastAsia="宋体" w:cs="Tahoma"/>
          <w:kern w:val="0"/>
          <w:sz w:val="24"/>
          <w:szCs w:val="24"/>
        </w:rPr>
      </w:pPr>
    </w:p>
    <w:p>
      <w:pPr>
        <w:widowControl/>
        <w:spacing w:line="360" w:lineRule="auto"/>
        <w:ind w:firstLine="480" w:firstLineChars="200"/>
        <w:jc w:val="left"/>
        <w:rPr>
          <w:rFonts w:ascii="宋体" w:hAnsi="宋体" w:eastAsia="宋体" w:cs="Tahoma"/>
          <w:kern w:val="0"/>
          <w:sz w:val="24"/>
          <w:szCs w:val="24"/>
        </w:rPr>
      </w:pPr>
      <w:r>
        <w:rPr>
          <w:rFonts w:hint="eastAsia" w:ascii="Tahoma" w:hAnsi="Tahoma" w:eastAsia="宋体" w:cs="Tahoma"/>
          <w:kern w:val="0"/>
          <w:sz w:val="24"/>
          <w:szCs w:val="24"/>
        </w:rPr>
        <w:t>（三）</w:t>
      </w:r>
      <w:r>
        <w:rPr>
          <w:rFonts w:hint="eastAsia" w:ascii="宋体" w:hAnsi="宋体" w:eastAsia="宋体" w:cs="Tahoma"/>
          <w:kern w:val="0"/>
          <w:sz w:val="24"/>
          <w:szCs w:val="24"/>
        </w:rPr>
        <w:t>专著加分</w:t>
      </w:r>
    </w:p>
    <w:p>
      <w:pPr>
        <w:widowControl/>
        <w:spacing w:line="360" w:lineRule="auto"/>
        <w:ind w:firstLine="480" w:firstLineChars="200"/>
        <w:jc w:val="left"/>
        <w:rPr>
          <w:rFonts w:ascii="Tahoma" w:hAnsi="Tahoma" w:eastAsia="宋体" w:cs="Tahoma"/>
          <w:kern w:val="0"/>
          <w:sz w:val="24"/>
          <w:szCs w:val="24"/>
        </w:rPr>
      </w:pPr>
      <w:r>
        <w:rPr>
          <w:rFonts w:hint="eastAsia" w:ascii="宋体" w:hAnsi="宋体" w:eastAsia="宋体" w:cs="Tahoma"/>
          <w:kern w:val="0"/>
          <w:sz w:val="24"/>
          <w:szCs w:val="24"/>
        </w:rPr>
        <w:t>以华南农业大学为第一署名单位编写专著者，按照专著加分标准，主编计相应分值的</w:t>
      </w:r>
      <w:r>
        <w:rPr>
          <w:rFonts w:ascii="Times New Roman" w:hAnsi="Times New Roman" w:eastAsia="宋体" w:cs="Times New Roman"/>
          <w:kern w:val="0"/>
          <w:sz w:val="24"/>
          <w:szCs w:val="24"/>
        </w:rPr>
        <w:t>100%</w:t>
      </w:r>
      <w:r>
        <w:rPr>
          <w:rFonts w:hint="eastAsia" w:ascii="宋体" w:hAnsi="宋体" w:eastAsia="宋体" w:cs="Tahoma"/>
          <w:kern w:val="0"/>
          <w:sz w:val="24"/>
          <w:szCs w:val="24"/>
        </w:rPr>
        <w:t>，第一副主编计</w:t>
      </w:r>
      <w:r>
        <w:rPr>
          <w:rFonts w:ascii="Times New Roman" w:hAnsi="Times New Roman" w:eastAsia="宋体" w:cs="Times New Roman"/>
          <w:kern w:val="0"/>
          <w:sz w:val="24"/>
          <w:szCs w:val="24"/>
        </w:rPr>
        <w:t>50%</w:t>
      </w:r>
      <w:r>
        <w:rPr>
          <w:rFonts w:hint="eastAsia" w:ascii="宋体" w:hAnsi="宋体" w:eastAsia="宋体" w:cs="Tahoma"/>
          <w:kern w:val="0"/>
          <w:sz w:val="24"/>
          <w:szCs w:val="24"/>
        </w:rPr>
        <w:t>，第二副主编计</w:t>
      </w:r>
      <w:r>
        <w:rPr>
          <w:rFonts w:ascii="Times New Roman" w:hAnsi="Times New Roman" w:eastAsia="宋体" w:cs="Times New Roman"/>
          <w:kern w:val="0"/>
          <w:sz w:val="24"/>
          <w:szCs w:val="24"/>
        </w:rPr>
        <w:t>30%</w:t>
      </w:r>
      <w:r>
        <w:rPr>
          <w:rFonts w:hint="eastAsia" w:ascii="宋体" w:hAnsi="宋体" w:eastAsia="宋体" w:cs="Tahoma"/>
          <w:kern w:val="0"/>
          <w:sz w:val="24"/>
          <w:szCs w:val="24"/>
        </w:rPr>
        <w:t>，第三副主编计</w:t>
      </w:r>
      <w:r>
        <w:rPr>
          <w:rFonts w:ascii="Times New Roman" w:hAnsi="Times New Roman" w:eastAsia="宋体" w:cs="Times New Roman"/>
          <w:kern w:val="0"/>
          <w:sz w:val="24"/>
          <w:szCs w:val="24"/>
        </w:rPr>
        <w:t>20%</w:t>
      </w:r>
      <w:r>
        <w:rPr>
          <w:rFonts w:hint="eastAsia" w:ascii="宋体" w:hAnsi="宋体" w:eastAsia="宋体" w:cs="Tahoma"/>
          <w:kern w:val="0"/>
          <w:sz w:val="24"/>
          <w:szCs w:val="24"/>
        </w:rPr>
        <w:t>。在专著中明确标明某一章是第一负责人的，根据专著加分标准，按照第一作者参与编写章数除以专著总章数的百分比获得相应分值的加分。担任主编、副主编加分与撰写某章节加分不重复计算</w:t>
      </w:r>
    </w:p>
    <w:p>
      <w:pPr>
        <w:widowControl/>
        <w:spacing w:line="360" w:lineRule="auto"/>
        <w:ind w:firstLine="480" w:firstLineChars="200"/>
        <w:jc w:val="left"/>
        <w:rPr>
          <w:rFonts w:ascii="宋体" w:hAnsi="宋体" w:eastAsia="宋体" w:cs="Tahoma"/>
          <w:kern w:val="0"/>
          <w:sz w:val="24"/>
          <w:szCs w:val="24"/>
        </w:rPr>
      </w:pPr>
      <w:r>
        <w:rPr>
          <w:rFonts w:ascii="Tahoma" w:hAnsi="Tahoma" w:eastAsia="宋体" w:cs="Tahoma"/>
          <w:kern w:val="0"/>
          <w:sz w:val="24"/>
          <w:szCs w:val="24"/>
        </w:rPr>
        <w:t>专著是指取得</w:t>
      </w:r>
      <w:r>
        <w:rPr>
          <w:rFonts w:ascii="Times New Roman" w:hAnsi="Times New Roman" w:eastAsia="宋体" w:cs="Times New Roman"/>
          <w:kern w:val="0"/>
          <w:sz w:val="24"/>
          <w:szCs w:val="24"/>
        </w:rPr>
        <w:t>ISBN</w:t>
      </w:r>
      <w:r>
        <w:rPr>
          <w:rFonts w:hint="eastAsia" w:ascii="宋体" w:hAnsi="宋体" w:eastAsia="宋体" w:cs="Tahoma"/>
          <w:kern w:val="0"/>
          <w:sz w:val="24"/>
          <w:szCs w:val="24"/>
        </w:rPr>
        <w:t>统一书号、公开出版发行的本专业学术专著、编著、高校教材、译著、工具书、科普著作，且是个人独著或第一主编，每部字数必须达到</w:t>
      </w:r>
      <w:r>
        <w:rPr>
          <w:rFonts w:ascii="Times New Roman" w:hAnsi="Times New Roman" w:eastAsia="宋体" w:cs="Times New Roman"/>
          <w:kern w:val="0"/>
          <w:sz w:val="24"/>
          <w:szCs w:val="24"/>
        </w:rPr>
        <w:t>10</w:t>
      </w:r>
      <w:r>
        <w:rPr>
          <w:rFonts w:hint="eastAsia" w:ascii="宋体" w:hAnsi="宋体" w:eastAsia="宋体" w:cs="Tahoma"/>
          <w:kern w:val="0"/>
          <w:sz w:val="24"/>
          <w:szCs w:val="24"/>
        </w:rPr>
        <w:t>万字以上。专著达</w:t>
      </w:r>
      <w:r>
        <w:rPr>
          <w:rFonts w:ascii="Times New Roman" w:hAnsi="Times New Roman" w:eastAsia="宋体" w:cs="Times New Roman"/>
          <w:kern w:val="0"/>
          <w:sz w:val="24"/>
          <w:szCs w:val="24"/>
        </w:rPr>
        <w:t>20</w:t>
      </w:r>
      <w:r>
        <w:rPr>
          <w:rFonts w:hint="eastAsia" w:ascii="宋体" w:hAnsi="宋体" w:eastAsia="宋体" w:cs="Tahoma"/>
          <w:kern w:val="0"/>
          <w:sz w:val="24"/>
          <w:szCs w:val="24"/>
        </w:rPr>
        <w:t>万字以上的，按</w:t>
      </w:r>
      <w:r>
        <w:rPr>
          <w:rFonts w:ascii="Times New Roman" w:hAnsi="Times New Roman" w:eastAsia="宋体" w:cs="Times New Roman"/>
          <w:kern w:val="0"/>
          <w:sz w:val="24"/>
          <w:szCs w:val="24"/>
        </w:rPr>
        <w:t>25</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部计算；专著在</w:t>
      </w:r>
      <w:r>
        <w:rPr>
          <w:rFonts w:ascii="Times New Roman" w:hAnsi="Times New Roman" w:eastAsia="宋体" w:cs="Times New Roman"/>
          <w:kern w:val="0"/>
          <w:sz w:val="24"/>
          <w:szCs w:val="24"/>
        </w:rPr>
        <w:t>10</w:t>
      </w:r>
      <w:r>
        <w:rPr>
          <w:rFonts w:hint="eastAsia" w:ascii="宋体" w:hAnsi="宋体" w:eastAsia="宋体" w:cs="Tahoma"/>
          <w:kern w:val="0"/>
          <w:sz w:val="24"/>
          <w:szCs w:val="24"/>
        </w:rPr>
        <w:t>万字以上</w:t>
      </w:r>
      <w:r>
        <w:rPr>
          <w:rFonts w:ascii="Times New Roman" w:hAnsi="Times New Roman" w:eastAsia="宋体" w:cs="Times New Roman"/>
          <w:kern w:val="0"/>
          <w:sz w:val="24"/>
          <w:szCs w:val="24"/>
        </w:rPr>
        <w:t>20</w:t>
      </w:r>
      <w:r>
        <w:rPr>
          <w:rFonts w:hint="eastAsia" w:ascii="宋体" w:hAnsi="宋体" w:eastAsia="宋体" w:cs="Tahoma"/>
          <w:kern w:val="0"/>
          <w:sz w:val="24"/>
          <w:szCs w:val="24"/>
        </w:rPr>
        <w:t>万字以下的，按</w:t>
      </w:r>
      <w:r>
        <w:rPr>
          <w:rFonts w:ascii="Times New Roman" w:hAnsi="Times New Roman" w:eastAsia="宋体" w:cs="Times New Roman"/>
          <w:kern w:val="0"/>
          <w:sz w:val="24"/>
          <w:szCs w:val="24"/>
        </w:rPr>
        <w:t>15</w:t>
      </w:r>
      <w:r>
        <w:rPr>
          <w:rFonts w:hint="eastAsia" w:ascii="宋体" w:hAnsi="宋体" w:eastAsia="宋体" w:cs="Tahoma"/>
          <w:kern w:val="0"/>
          <w:sz w:val="24"/>
          <w:szCs w:val="24"/>
        </w:rPr>
        <w:t>分</w:t>
      </w:r>
      <w:r>
        <w:rPr>
          <w:rFonts w:ascii="Times New Roman" w:hAnsi="Times New Roman" w:eastAsia="宋体" w:cs="Times New Roman"/>
          <w:kern w:val="0"/>
          <w:sz w:val="24"/>
          <w:szCs w:val="24"/>
        </w:rPr>
        <w:t>/</w:t>
      </w:r>
      <w:r>
        <w:rPr>
          <w:rFonts w:hint="eastAsia" w:ascii="宋体" w:hAnsi="宋体" w:eastAsia="宋体" w:cs="Tahoma"/>
          <w:kern w:val="0"/>
          <w:sz w:val="24"/>
          <w:szCs w:val="24"/>
        </w:rPr>
        <w:t>部计算。</w:t>
      </w:r>
    </w:p>
    <w:p>
      <w:pPr>
        <w:widowControl/>
        <w:spacing w:before="100" w:beforeAutospacing="1" w:after="100" w:afterAutospacing="1"/>
        <w:ind w:firstLine="482" w:firstLineChars="200"/>
        <w:jc w:val="left"/>
        <w:rPr>
          <w:rFonts w:ascii="宋体" w:hAnsi="宋体" w:eastAsia="宋体" w:cs="Tahoma"/>
          <w:b/>
          <w:kern w:val="0"/>
          <w:sz w:val="24"/>
          <w:szCs w:val="24"/>
        </w:rPr>
      </w:pPr>
    </w:p>
    <w:p>
      <w:pPr>
        <w:widowControl/>
        <w:spacing w:before="100" w:beforeAutospacing="1" w:after="100" w:afterAutospacing="1"/>
        <w:jc w:val="left"/>
        <w:rPr>
          <w:rFonts w:ascii="宋体" w:hAnsi="宋体" w:eastAsia="宋体" w:cs="Tahoma"/>
          <w:b/>
          <w:kern w:val="0"/>
          <w:sz w:val="24"/>
          <w:szCs w:val="24"/>
        </w:rPr>
      </w:pPr>
      <w:r>
        <w:rPr>
          <w:rFonts w:hint="eastAsia" w:ascii="宋体" w:hAnsi="宋体" w:eastAsia="宋体" w:cs="Tahoma"/>
          <w:b/>
          <w:kern w:val="0"/>
          <w:sz w:val="24"/>
          <w:szCs w:val="24"/>
        </w:rPr>
        <w:t>附则：</w:t>
      </w:r>
    </w:p>
    <w:p>
      <w:pPr>
        <w:widowControl/>
        <w:spacing w:before="100" w:beforeAutospacing="1" w:after="100" w:afterAutospacing="1"/>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w:t>
      </w:r>
      <w:r>
        <w:rPr>
          <w:rFonts w:ascii="宋体" w:hAnsi="宋体" w:eastAsia="宋体" w:cs="Tahoma"/>
          <w:kern w:val="0"/>
          <w:sz w:val="24"/>
          <w:szCs w:val="24"/>
        </w:rPr>
        <w:t>一）</w:t>
      </w:r>
      <w:r>
        <w:rPr>
          <w:rFonts w:hint="eastAsia" w:ascii="宋体" w:hAnsi="宋体" w:eastAsia="宋体" w:cs="Tahoma"/>
          <w:kern w:val="0"/>
          <w:sz w:val="24"/>
          <w:szCs w:val="24"/>
        </w:rPr>
        <w:t>评优</w:t>
      </w:r>
      <w:r>
        <w:rPr>
          <w:rFonts w:ascii="宋体" w:hAnsi="宋体" w:eastAsia="宋体" w:cs="Tahoma"/>
          <w:kern w:val="0"/>
          <w:sz w:val="24"/>
          <w:szCs w:val="24"/>
        </w:rPr>
        <w:t>事项如有调整，按照当年学校有关规定处理</w:t>
      </w:r>
    </w:p>
    <w:p>
      <w:pPr>
        <w:widowControl/>
        <w:spacing w:before="100" w:beforeAutospacing="1" w:after="100" w:afterAutospacing="1"/>
        <w:ind w:firstLine="480" w:firstLineChars="200"/>
        <w:jc w:val="left"/>
        <w:rPr>
          <w:rFonts w:ascii="宋体" w:hAnsi="宋体" w:eastAsia="宋体" w:cs="Tahoma"/>
          <w:kern w:val="0"/>
          <w:sz w:val="24"/>
          <w:szCs w:val="24"/>
        </w:rPr>
      </w:pPr>
      <w:r>
        <w:rPr>
          <w:rFonts w:hint="eastAsia" w:ascii="宋体" w:hAnsi="宋体" w:eastAsia="宋体" w:cs="Tahoma"/>
          <w:kern w:val="0"/>
          <w:sz w:val="24"/>
          <w:szCs w:val="24"/>
        </w:rPr>
        <w:t>（</w:t>
      </w:r>
      <w:r>
        <w:rPr>
          <w:rFonts w:ascii="宋体" w:hAnsi="宋体" w:eastAsia="宋体" w:cs="Tahoma"/>
          <w:kern w:val="0"/>
          <w:sz w:val="24"/>
          <w:szCs w:val="24"/>
        </w:rPr>
        <w:t>二）</w:t>
      </w:r>
      <w:r>
        <w:rPr>
          <w:rFonts w:hint="eastAsia" w:ascii="宋体" w:hAnsi="宋体" w:eastAsia="宋体" w:cs="Tahoma"/>
          <w:kern w:val="0"/>
          <w:sz w:val="24"/>
          <w:szCs w:val="24"/>
        </w:rPr>
        <w:t>本</w:t>
      </w:r>
      <w:r>
        <w:rPr>
          <w:rFonts w:ascii="宋体" w:hAnsi="宋体" w:eastAsia="宋体" w:cs="Tahoma"/>
          <w:kern w:val="0"/>
          <w:sz w:val="24"/>
          <w:szCs w:val="24"/>
        </w:rPr>
        <w:t>细则的最终解释权归华南农业大学经济管理学院党委</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701" w:bottom="1440"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3670935</wp:posOffset>
              </wp:positionH>
              <wp:positionV relativeFrom="page">
                <wp:posOffset>9892030</wp:posOffset>
              </wp:positionV>
              <wp:extent cx="59690" cy="10033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59690" cy="100330"/>
                      </a:xfrm>
                      <a:prstGeom prst="rect">
                        <a:avLst/>
                      </a:prstGeom>
                      <a:noFill/>
                      <a:ln>
                        <a:noFill/>
                      </a:ln>
                      <a:effectLst/>
                    </wps:spPr>
                    <wps:txbx>
                      <w:txbxContent>
                        <w:p>
                          <w:pPr>
                            <w:pStyle w:val="15"/>
                            <w:rPr>
                              <w:sz w:val="22"/>
                              <w:szCs w:val="22"/>
                            </w:rPr>
                          </w:pPr>
                          <w:r>
                            <w:fldChar w:fldCharType="begin"/>
                          </w:r>
                          <w:r>
                            <w:instrText xml:space="preserve"> PAGE \* MERGEFORMAT </w:instrText>
                          </w:r>
                          <w:r>
                            <w:fldChar w:fldCharType="separate"/>
                          </w:r>
                          <w:r>
                            <w:rPr>
                              <w:sz w:val="22"/>
                              <w:szCs w:val="22"/>
                            </w:rPr>
                            <w:t>4</w:t>
                          </w:r>
                          <w:r>
                            <w:rPr>
                              <w:sz w:val="22"/>
                              <w:szCs w:val="2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89.05pt;margin-top:778.9pt;height:7.9pt;width:4.7pt;mso-position-horizontal-relative:page;mso-position-vertical-relative:page;mso-wrap-style:none;z-index:-251657216;mso-width-relative:page;mso-height-relative:page;" filled="f" stroked="f" coordsize="21600,21600" o:gfxdata="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35X3HXAAAADQEAAA8AAAAAAAAAAQAgAAAAIgAAAGRy&#10;cy9kb3ducmV2LnhtbFBLAQIUABQAAAAIAIdO4kBewRZHzQEAAJoDAAAOAAAAAAAAAAEAIAAAACYB&#10;AABkcnMvZTJvRG9jLnhtbFBLBQYAAAAABgAGAFkBAABlBQAAAAA=&#10;">
              <v:fill on="f" focussize="0,0"/>
              <v:stroke on="f"/>
              <v:imagedata o:title=""/>
              <o:lock v:ext="edit" aspectratio="f"/>
              <v:textbox inset="0mm,0mm,0mm,0mm" style="mso-fit-shape-to-text:t;">
                <w:txbxContent>
                  <w:p>
                    <w:pPr>
                      <w:pStyle w:val="15"/>
                      <w:rPr>
                        <w:sz w:val="22"/>
                        <w:szCs w:val="22"/>
                      </w:rPr>
                    </w:pPr>
                    <w:r>
                      <w:fldChar w:fldCharType="begin"/>
                    </w:r>
                    <w:r>
                      <w:instrText xml:space="preserve"> PAGE \* MERGEFORMAT </w:instrText>
                    </w:r>
                    <w:r>
                      <w:fldChar w:fldCharType="separate"/>
                    </w:r>
                    <w:r>
                      <w:rPr>
                        <w:sz w:val="22"/>
                        <w:szCs w:val="22"/>
                      </w:rPr>
                      <w:t>4</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8499582"/>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8</w:t>
        </w:r>
        <w:r>
          <w:rPr>
            <w:rFonts w:ascii="Times New Roman" w:hAnsi="Times New Roman" w:cs="Times New Roman"/>
            <w:sz w:val="21"/>
            <w:szCs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4F"/>
    <w:rsid w:val="00000476"/>
    <w:rsid w:val="00001F1F"/>
    <w:rsid w:val="0001504A"/>
    <w:rsid w:val="00030C72"/>
    <w:rsid w:val="00040CCF"/>
    <w:rsid w:val="00047234"/>
    <w:rsid w:val="00056C61"/>
    <w:rsid w:val="000703E2"/>
    <w:rsid w:val="000806C6"/>
    <w:rsid w:val="000C1E8B"/>
    <w:rsid w:val="000C38C9"/>
    <w:rsid w:val="000D408D"/>
    <w:rsid w:val="000E56BB"/>
    <w:rsid w:val="0011552B"/>
    <w:rsid w:val="00115FCC"/>
    <w:rsid w:val="00147536"/>
    <w:rsid w:val="00167DDA"/>
    <w:rsid w:val="00190B3E"/>
    <w:rsid w:val="00193E27"/>
    <w:rsid w:val="001A1FDA"/>
    <w:rsid w:val="001A5262"/>
    <w:rsid w:val="001E1F46"/>
    <w:rsid w:val="001E3F8E"/>
    <w:rsid w:val="002140B7"/>
    <w:rsid w:val="00237E41"/>
    <w:rsid w:val="0024244B"/>
    <w:rsid w:val="002547A3"/>
    <w:rsid w:val="00256B68"/>
    <w:rsid w:val="002628E8"/>
    <w:rsid w:val="0027133D"/>
    <w:rsid w:val="002727C4"/>
    <w:rsid w:val="00290945"/>
    <w:rsid w:val="002B15FC"/>
    <w:rsid w:val="002B4A43"/>
    <w:rsid w:val="002C32C9"/>
    <w:rsid w:val="002D6B1A"/>
    <w:rsid w:val="002E1622"/>
    <w:rsid w:val="002E578C"/>
    <w:rsid w:val="002F5236"/>
    <w:rsid w:val="00307257"/>
    <w:rsid w:val="00343FDF"/>
    <w:rsid w:val="003542AE"/>
    <w:rsid w:val="00384221"/>
    <w:rsid w:val="0038680F"/>
    <w:rsid w:val="00390682"/>
    <w:rsid w:val="003B0EEA"/>
    <w:rsid w:val="003B1A72"/>
    <w:rsid w:val="003B75E8"/>
    <w:rsid w:val="003D3C53"/>
    <w:rsid w:val="003D3E8F"/>
    <w:rsid w:val="003D5C36"/>
    <w:rsid w:val="003E1E0E"/>
    <w:rsid w:val="00406FEF"/>
    <w:rsid w:val="00425870"/>
    <w:rsid w:val="00440FBF"/>
    <w:rsid w:val="00447BC2"/>
    <w:rsid w:val="0045742B"/>
    <w:rsid w:val="00457EB7"/>
    <w:rsid w:val="00463C73"/>
    <w:rsid w:val="004771E4"/>
    <w:rsid w:val="00495F89"/>
    <w:rsid w:val="004B6510"/>
    <w:rsid w:val="004D3B98"/>
    <w:rsid w:val="004E1F31"/>
    <w:rsid w:val="004F11F7"/>
    <w:rsid w:val="004F50F5"/>
    <w:rsid w:val="004F649A"/>
    <w:rsid w:val="00506A45"/>
    <w:rsid w:val="00542A66"/>
    <w:rsid w:val="00595114"/>
    <w:rsid w:val="005A77C1"/>
    <w:rsid w:val="005C2073"/>
    <w:rsid w:val="005C52F7"/>
    <w:rsid w:val="005C63F2"/>
    <w:rsid w:val="0060373C"/>
    <w:rsid w:val="00621EFB"/>
    <w:rsid w:val="00625901"/>
    <w:rsid w:val="00635CA9"/>
    <w:rsid w:val="00636726"/>
    <w:rsid w:val="00642E6F"/>
    <w:rsid w:val="006525CB"/>
    <w:rsid w:val="00665631"/>
    <w:rsid w:val="00673129"/>
    <w:rsid w:val="00682F84"/>
    <w:rsid w:val="006913FF"/>
    <w:rsid w:val="006B4F75"/>
    <w:rsid w:val="006D11C8"/>
    <w:rsid w:val="006D368F"/>
    <w:rsid w:val="006D4375"/>
    <w:rsid w:val="006E3F42"/>
    <w:rsid w:val="006F42AE"/>
    <w:rsid w:val="006F4DEF"/>
    <w:rsid w:val="00741BE3"/>
    <w:rsid w:val="00742769"/>
    <w:rsid w:val="0079032E"/>
    <w:rsid w:val="00790CDC"/>
    <w:rsid w:val="00794B87"/>
    <w:rsid w:val="007A4431"/>
    <w:rsid w:val="007A48C3"/>
    <w:rsid w:val="007A73F6"/>
    <w:rsid w:val="007B1C81"/>
    <w:rsid w:val="007C5B3E"/>
    <w:rsid w:val="007D6464"/>
    <w:rsid w:val="007E6839"/>
    <w:rsid w:val="007F16E2"/>
    <w:rsid w:val="007F514F"/>
    <w:rsid w:val="007F66A5"/>
    <w:rsid w:val="00814BE6"/>
    <w:rsid w:val="00817B5E"/>
    <w:rsid w:val="0084239A"/>
    <w:rsid w:val="0084364E"/>
    <w:rsid w:val="008470D7"/>
    <w:rsid w:val="00864DAC"/>
    <w:rsid w:val="0086528D"/>
    <w:rsid w:val="0087005B"/>
    <w:rsid w:val="00870C41"/>
    <w:rsid w:val="00883185"/>
    <w:rsid w:val="008E7FF0"/>
    <w:rsid w:val="008F2E6B"/>
    <w:rsid w:val="009501FF"/>
    <w:rsid w:val="00971A84"/>
    <w:rsid w:val="00985689"/>
    <w:rsid w:val="00992685"/>
    <w:rsid w:val="009B0375"/>
    <w:rsid w:val="009B4FDB"/>
    <w:rsid w:val="009C0AA4"/>
    <w:rsid w:val="009D3EE1"/>
    <w:rsid w:val="009E1A22"/>
    <w:rsid w:val="009F1B04"/>
    <w:rsid w:val="00A20A93"/>
    <w:rsid w:val="00A21F4B"/>
    <w:rsid w:val="00A24452"/>
    <w:rsid w:val="00A257F1"/>
    <w:rsid w:val="00A36537"/>
    <w:rsid w:val="00A401D1"/>
    <w:rsid w:val="00A500DB"/>
    <w:rsid w:val="00A76FBA"/>
    <w:rsid w:val="00A815EC"/>
    <w:rsid w:val="00AB109A"/>
    <w:rsid w:val="00AB50B3"/>
    <w:rsid w:val="00AC4C2B"/>
    <w:rsid w:val="00AF31DF"/>
    <w:rsid w:val="00B33C39"/>
    <w:rsid w:val="00B4211D"/>
    <w:rsid w:val="00B54127"/>
    <w:rsid w:val="00B5775C"/>
    <w:rsid w:val="00B60D0F"/>
    <w:rsid w:val="00B90A19"/>
    <w:rsid w:val="00BB4590"/>
    <w:rsid w:val="00BC610F"/>
    <w:rsid w:val="00BD7A57"/>
    <w:rsid w:val="00BE43A8"/>
    <w:rsid w:val="00C019E1"/>
    <w:rsid w:val="00C03687"/>
    <w:rsid w:val="00C441FF"/>
    <w:rsid w:val="00C51C96"/>
    <w:rsid w:val="00C525D6"/>
    <w:rsid w:val="00C639D1"/>
    <w:rsid w:val="00C718EF"/>
    <w:rsid w:val="00C759F0"/>
    <w:rsid w:val="00C84E1E"/>
    <w:rsid w:val="00CA6C49"/>
    <w:rsid w:val="00CC0A34"/>
    <w:rsid w:val="00CC2F65"/>
    <w:rsid w:val="00CC343D"/>
    <w:rsid w:val="00CD04DF"/>
    <w:rsid w:val="00CF1E57"/>
    <w:rsid w:val="00D012C4"/>
    <w:rsid w:val="00D035E3"/>
    <w:rsid w:val="00D223BE"/>
    <w:rsid w:val="00D32692"/>
    <w:rsid w:val="00D32AD9"/>
    <w:rsid w:val="00D36437"/>
    <w:rsid w:val="00D442FD"/>
    <w:rsid w:val="00D63339"/>
    <w:rsid w:val="00D63978"/>
    <w:rsid w:val="00D66DFA"/>
    <w:rsid w:val="00D7107D"/>
    <w:rsid w:val="00D71767"/>
    <w:rsid w:val="00D76DA4"/>
    <w:rsid w:val="00D85BF8"/>
    <w:rsid w:val="00D96833"/>
    <w:rsid w:val="00DB00DF"/>
    <w:rsid w:val="00DB468D"/>
    <w:rsid w:val="00DC669D"/>
    <w:rsid w:val="00DC66A4"/>
    <w:rsid w:val="00DD5C50"/>
    <w:rsid w:val="00DE0D58"/>
    <w:rsid w:val="00E451FB"/>
    <w:rsid w:val="00E60963"/>
    <w:rsid w:val="00E650F8"/>
    <w:rsid w:val="00E6607B"/>
    <w:rsid w:val="00E843D2"/>
    <w:rsid w:val="00E91D8E"/>
    <w:rsid w:val="00EA1908"/>
    <w:rsid w:val="00EB3AD4"/>
    <w:rsid w:val="00ED4B12"/>
    <w:rsid w:val="00ED6D0E"/>
    <w:rsid w:val="00EE48FC"/>
    <w:rsid w:val="00EE698D"/>
    <w:rsid w:val="00EF1558"/>
    <w:rsid w:val="00EF4AE9"/>
    <w:rsid w:val="00EF7BE6"/>
    <w:rsid w:val="00F009D6"/>
    <w:rsid w:val="00F05EA8"/>
    <w:rsid w:val="00F220A3"/>
    <w:rsid w:val="00F32449"/>
    <w:rsid w:val="00F33E6D"/>
    <w:rsid w:val="00F53025"/>
    <w:rsid w:val="00F613B6"/>
    <w:rsid w:val="00F64AC5"/>
    <w:rsid w:val="00F64AE7"/>
    <w:rsid w:val="00F748C5"/>
    <w:rsid w:val="00F80131"/>
    <w:rsid w:val="00F85A71"/>
    <w:rsid w:val="00F8744E"/>
    <w:rsid w:val="00F94671"/>
    <w:rsid w:val="00FB175A"/>
    <w:rsid w:val="00FD12D5"/>
    <w:rsid w:val="00FF6B5E"/>
    <w:rsid w:val="40C9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 w:type="table" w:customStyle="1" w:styleId="12">
    <w:name w:val="Plain Table 2"/>
    <w:basedOn w:val="5"/>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15">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782</Words>
  <Characters>4461</Characters>
  <Lines>37</Lines>
  <Paragraphs>10</Paragraphs>
  <TotalTime>15</TotalTime>
  <ScaleCrop>false</ScaleCrop>
  <LinksUpToDate>false</LinksUpToDate>
  <CharactersWithSpaces>5233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2020-09-04T08:31:00Z</dcterms:created>
  <dc:creator>綦林</dc:creator>
  <cp:lastModifiedBy>白石</cp:lastModifiedBy>
  <cp:lastPrinted>2020-10-22T09:51:00Z</cp:lastPrinted>
  <dcterms:modified xsi:type="dcterms:W3CDTF">2021-10-09T08:25:47Z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30304C152FEE4AB6927871B41CD732B5</vt:lpwstr>
  </property>
</Properties>
</file>